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Año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(K USD)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 de bienes vendidos (K USD)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Margen de beneficio bruto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operativos (K USD)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EBITDA (K USD)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 por intereses (K USD)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Ganancias antes de impuestos (K USD)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netos (K USD)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recursos (K USD)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pasivos (K USD)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Patrimonio constituido por acciones (K USD)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