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007F19CA" w:rsidP="007F19CA" w14:paraId="1787A9EE" w14:textId="4168E55B">
      <w:pPr>
        <w:pStyle w:val="Title"/>
        <w:bidi w:val="0"/>
        <w:jc w:val="center"/>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fr-FR" w:eastAsia="en-US" w:bidi="ar-SA"/>
        </w:rPr>
        <w:t>Document de spécification produit</w:t>
      </w:r>
    </w:p>
    <w:p w:rsidR="007F19CA" w:rsidRPr="007F19CA" w:rsidP="007F19CA" w14:paraId="0B15FB29" w14:textId="3E2D2E9F">
      <w:pPr>
        <w:pStyle w:val="Heading1"/>
        <w:bidi w:val="0"/>
        <w:jc w:val="center"/>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en-US" w:bidi="ar-SA"/>
        </w:rPr>
        <w:t>Contoso CipherGuard Sentinel X7</w:t>
      </w:r>
    </w:p>
    <w:p w:rsidR="007F19CA" w:rsidP="007F19CA" w14:paraId="4A8ECB41" w14:textId="77777777"/>
    <w:p w:rsidR="007F19CA" w:rsidP="007F19CA" w14:paraId="63185481" w14:textId="4E671118">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en-US" w:bidi="ar-SA"/>
        </w:rPr>
        <w:t>1.</w:t>
      </w: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en-US" w:bidi="ar-SA"/>
        </w:rPr>
        <w:t>Vue d’ensemble du produit</w:t>
      </w:r>
    </w:p>
    <w:p w:rsidR="007F19CA" w:rsidP="007F19CA" w14:paraId="376EB52D" w14:textId="77777777"/>
    <w:p w:rsidR="007F19CA" w:rsidP="007F19CA" w14:paraId="2D2950CC" w14:textId="39A0454D">
      <w:pPr>
        <w:pStyle w:val="Heading2"/>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fr-FR" w:eastAsia="en-US" w:bidi="ar-SA"/>
        </w:rPr>
        <w:t>1.1 Introduction</w:t>
      </w:r>
    </w:p>
    <w:p w:rsidR="007F19CA" w:rsidP="007F19CA" w14:paraId="250D6699" w14:textId="77777777"/>
    <w:p w:rsidR="007F19CA" w:rsidP="007F19CA" w14:paraId="0E25AFCF" w14:textId="4C57A282">
      <w:pPr>
        <w:bidi w:val="0"/>
      </w:pP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Contoso CipherGuard Sentinel X7 est un produit de sécurité avancé et résilient, méticuleusement conçu pour renforcer l’infrastructure du réseau informatique contre un large éventail de menaces et de vulnérabilités.</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Ce document présente les subtilités des spécifications techniques, des caractéristiques et des fonctionnalités du Contoso CipherGuard Sentinel X7.</w:t>
      </w:r>
    </w:p>
    <w:p w:rsidR="007F19CA" w:rsidP="007F19CA" w14:paraId="56D662D4" w14:textId="77777777"/>
    <w:p w:rsidR="007F19CA" w:rsidP="00B44197" w14:paraId="2C0580EC" w14:textId="311F2686">
      <w:pPr>
        <w:pStyle w:val="Heading2"/>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fr-FR" w:eastAsia="en-US" w:bidi="ar-SA"/>
        </w:rPr>
        <w:t>1.2 Principales fonctionnalités</w:t>
      </w:r>
    </w:p>
    <w:p w:rsidR="007F19CA" w:rsidP="007F19CA" w14:paraId="420466B3" w14:textId="2D7B53F6">
      <w:pPr>
        <w:pStyle w:val="ListParagraph"/>
        <w:numPr>
          <w:ilvl w:val="0"/>
          <w:numId w:val="3"/>
        </w:numPr>
        <w:bidi w:val="0"/>
      </w:pPr>
      <w:r>
        <w:rPr>
          <w:rStyle w:val="DefaultParagraphFont"/>
          <w:rFonts w:ascii="Calibri" w:eastAsia="Calibri" w:hAnsi="Calibri" w:cs="Times New Roman"/>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En utilisant un pare-feu à inspection d’état, Contoso CipherGuard Sentinel X7 emploie des techniques d’inspection approfondie des paquets.</w:t>
      </w:r>
      <w:r>
        <w:rPr>
          <w:rStyle w:val="DefaultParagraphFont"/>
          <w:rFonts w:ascii="Calibri" w:eastAsia="Calibri" w:hAnsi="Calibri" w:cs="Times New Roman"/>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Calibri" w:eastAsia="Calibri" w:hAnsi="Calibri" w:cs="Times New Roman"/>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Il inspecte et analyse les paquets réseau au niveau de la couche d’application, ce qui permet un contrôle granulaire des flux de données.</w:t>
      </w:r>
      <w:r>
        <w:rPr>
          <w:rStyle w:val="DefaultParagraphFont"/>
          <w:rFonts w:ascii="Calibri" w:eastAsia="Calibri" w:hAnsi="Calibri" w:cs="Times New Roman"/>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Calibri" w:eastAsia="Calibri" w:hAnsi="Calibri" w:cs="Times New Roman"/>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Le pare-feu adapte dynamiquement son ensemble de règles en fonction de l’évolution du contexte du réseau, ce qui permet d’atténuer les risques liés aux attaques de la couche d’application.</w:t>
      </w:r>
      <w:r>
        <w:rPr>
          <w:rStyle w:val="DefaultParagraphFont"/>
          <w:rFonts w:ascii="Calibri" w:eastAsia="Calibri" w:hAnsi="Calibri" w:cs="Times New Roman"/>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br/>
      </w:r>
    </w:p>
    <w:p w:rsidR="007F19CA" w:rsidP="007F19CA" w14:paraId="07C28C47" w14:textId="6F50DE94">
      <w:pPr>
        <w:pStyle w:val="ListParagraph"/>
        <w:numPr>
          <w:ilvl w:val="0"/>
          <w:numId w:val="3"/>
        </w:numPr>
        <w:bidi w:val="0"/>
      </w:pP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Système de détection et de prévention des intrusions (IDPS) : </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alimenté par des algorithmes d’apprentissage automatique, notre IDPS surveille en permanence les modèles et anomalies du trafic réseau.</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Il s’appuie sur la détection basée sur les signatures, la détection des anomalies et l’analyse heuristique pour identifier et contrecarrer les menaces potentielles.</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Le système utilise des flux de renseignements sur les menaces, ce qui assure sa mise à jour avec les derniers schémas d’attaque connus.</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br/>
      </w:r>
    </w:p>
    <w:p w:rsidR="007F19CA" w:rsidP="007F19CA" w14:paraId="15BD3992" w14:textId="0C77C848">
      <w:pPr>
        <w:pStyle w:val="ListParagraph"/>
        <w:numPr>
          <w:ilvl w:val="0"/>
          <w:numId w:val="3"/>
        </w:numPr>
        <w:bidi w:val="0"/>
      </w:pPr>
      <w:r>
        <w:rPr>
          <w:rStyle w:val="DefaultParagraphFont"/>
          <w:rFonts w:ascii="Calibri" w:eastAsia="Calibri" w:hAnsi="Calibri" w:cs="Times New Roman"/>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Contoso CipherGuard Sentinel X7 prend en charge les protocoles VPN standard tels que IPsec et OpenVPN.</w:t>
      </w:r>
      <w:r>
        <w:rPr>
          <w:rStyle w:val="DefaultParagraphFont"/>
          <w:rFonts w:ascii="Calibri" w:eastAsia="Calibri" w:hAnsi="Calibri" w:cs="Times New Roman"/>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Calibri" w:eastAsia="Calibri" w:hAnsi="Calibri" w:cs="Times New Roman"/>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Il facilite la communication sécurisée sur les réseaux publics en cryptant les données en transit.</w:t>
      </w:r>
      <w:r>
        <w:rPr>
          <w:rStyle w:val="DefaultParagraphFont"/>
          <w:rFonts w:ascii="Calibri" w:eastAsia="Calibri" w:hAnsi="Calibri" w:cs="Times New Roman"/>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Calibri" w:eastAsia="Calibri" w:hAnsi="Calibri" w:cs="Times New Roman"/>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Le module VPN utilise des algorithmes cryptographiques avancés, notamment AES-256, garantissant un canal de communication robuste et sécurisé pour les utilisateurs distants et les succursales.</w:t>
      </w:r>
      <w:r>
        <w:rPr>
          <w:rStyle w:val="DefaultParagraphFont"/>
          <w:rFonts w:ascii="Calibri" w:eastAsia="Calibri" w:hAnsi="Calibri" w:cs="Times New Roman"/>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br/>
      </w:r>
    </w:p>
    <w:p w:rsidR="007F19CA" w:rsidP="007F19CA" w14:paraId="652F5489" w14:textId="6A4B3703">
      <w:pPr>
        <w:pStyle w:val="ListParagraph"/>
        <w:numPr>
          <w:ilvl w:val="0"/>
          <w:numId w:val="3"/>
        </w:numPr>
        <w:bidi w:val="0"/>
      </w:pPr>
      <w:r>
        <w:rPr>
          <w:rStyle w:val="DefaultParagraphFont"/>
          <w:rFonts w:ascii="Calibri" w:eastAsia="Calibri" w:hAnsi="Calibri" w:cs="Times New Roman"/>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Grâce à une approche de défense multicouche, notre module de sécurité des points d’accès intègre des fonctionnalités antivirus, une protection contre les programmes malveillants et des fonctions de prévention des intrusions basées sur l’hôte.</w:t>
      </w:r>
      <w:r>
        <w:rPr>
          <w:rStyle w:val="DefaultParagraphFont"/>
          <w:rFonts w:ascii="Calibri" w:eastAsia="Calibri" w:hAnsi="Calibri" w:cs="Times New Roman"/>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Calibri" w:eastAsia="Calibri" w:hAnsi="Calibri" w:cs="Times New Roman"/>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Il effectue une analyse comportementale et un balayage heuristique en temps réel, garantissant une détection proactive et l’endiguement des activités malveillantes.</w:t>
      </w:r>
      <w:r>
        <w:rPr>
          <w:rStyle w:val="DefaultParagraphFont"/>
          <w:rFonts w:ascii="Calibri" w:eastAsia="Calibri" w:hAnsi="Calibri" w:cs="Times New Roman"/>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Calibri" w:eastAsia="Calibri" w:hAnsi="Calibri" w:cs="Times New Roman"/>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De plus, il s’intègre aux plate-formes Threat Intelligence pour réagir rapidement aux menaces émergentes.</w:t>
      </w:r>
      <w:r>
        <w:rPr>
          <w:rStyle w:val="DefaultParagraphFont"/>
          <w:rFonts w:ascii="Calibri" w:eastAsia="Calibri" w:hAnsi="Calibri" w:cs="Times New Roman"/>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br/>
      </w:r>
    </w:p>
    <w:p w:rsidR="007F19CA" w:rsidP="007F19CA" w14:paraId="7D583AFE" w14:textId="628A6B85">
      <w:pPr>
        <w:pStyle w:val="ListParagraph"/>
        <w:numPr>
          <w:ilvl w:val="0"/>
          <w:numId w:val="4"/>
        </w:numPr>
        <w:bidi w:val="0"/>
      </w:pPr>
      <w:r>
        <w:rPr>
          <w:rStyle w:val="DefaultParagraphFont"/>
          <w:rFonts w:ascii="Calibri" w:eastAsia="Calibri" w:hAnsi="Calibri" w:cs="Times New Roman"/>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Le sous-système de journalisation et de surveillance recueille des données complètes sur les activités du réseau.</w:t>
      </w:r>
      <w:r>
        <w:rPr>
          <w:rStyle w:val="DefaultParagraphFont"/>
          <w:rFonts w:ascii="Calibri" w:eastAsia="Calibri" w:hAnsi="Calibri" w:cs="Times New Roman"/>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Calibri" w:eastAsia="Calibri" w:hAnsi="Calibri" w:cs="Times New Roman"/>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Il comprend des journaux détaillés sur les modèles de trafic, les événements d’authentification des utilisateurs et les violations de la politique de sécurité.</w:t>
      </w:r>
      <w:r>
        <w:rPr>
          <w:rStyle w:val="DefaultParagraphFont"/>
          <w:rFonts w:ascii="Calibri" w:eastAsia="Calibri" w:hAnsi="Calibri" w:cs="Times New Roman"/>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Calibri" w:eastAsia="Calibri" w:hAnsi="Calibri" w:cs="Times New Roman"/>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Intégrée au système de gestion des informations et des événements de sécurité (SIEM, Security Information and Event Management), cette fonction facilite la surveillance et l’analyse centralisées, permettant aux administrateurs de sécurité de réagir rapidement face aux incidents de sécurité potentiels.</w:t>
      </w:r>
      <w:r>
        <w:rPr>
          <w:rStyle w:val="DefaultParagraphFont"/>
          <w:rFonts w:ascii="Calibri" w:eastAsia="Calibri" w:hAnsi="Calibri" w:cs="Times New Roman"/>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br/>
      </w:r>
    </w:p>
    <w:p w:rsidR="007F19CA" w:rsidP="007F19CA" w14:paraId="3CDC0E3F" w14:textId="2393839B">
      <w:pPr>
        <w:pStyle w:val="ListParagraph"/>
        <w:numPr>
          <w:ilvl w:val="0"/>
          <w:numId w:val="4"/>
        </w:numPr>
        <w:bidi w:val="0"/>
      </w:pPr>
      <w:r>
        <w:rPr>
          <w:rStyle w:val="DefaultParagraphFont"/>
          <w:rFonts w:ascii="Calibri" w:eastAsia="Calibri" w:hAnsi="Calibri" w:cs="Times New Roman"/>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Contoso CipherGuard Sentinel X7 prend en charge les mécanismes d’authentification multifactorielle (MFA), notamment l’authentification biométrique et l’intégration des cartes à puce.</w:t>
      </w:r>
      <w:r>
        <w:rPr>
          <w:rStyle w:val="DefaultParagraphFont"/>
          <w:rFonts w:ascii="Calibri" w:eastAsia="Calibri" w:hAnsi="Calibri" w:cs="Times New Roman"/>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Calibri" w:eastAsia="Calibri" w:hAnsi="Calibri" w:cs="Times New Roman"/>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Les politiques de contrôle d’accès sont basées sur les rôles des utilisateurs et s’appuient sur l’intégration du protocole LDAP et d’Active Directory.</w:t>
      </w:r>
      <w:r>
        <w:rPr>
          <w:rStyle w:val="DefaultParagraphFont"/>
          <w:rFonts w:ascii="Calibri" w:eastAsia="Calibri" w:hAnsi="Calibri" w:cs="Times New Roman"/>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Calibri" w:eastAsia="Calibri" w:hAnsi="Calibri" w:cs="Times New Roman"/>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L’application dynamique des politiques garantit que seuls les utilisateurs autorisés ont accès aux ressources sensibles.</w:t>
      </w:r>
    </w:p>
    <w:p w:rsidR="007F19CA" w:rsidP="007F19CA" w14:paraId="611B56FC" w14:textId="77777777"/>
    <w:p w:rsidR="007F19CA" w:rsidP="007F19CA" w14:paraId="70E4E20D" w14:textId="1981BF3C">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en-US" w:bidi="ar-SA"/>
        </w:rPr>
        <w:t>2.</w:t>
      </w: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en-US" w:bidi="ar-SA"/>
        </w:rPr>
        <w:t>Spécifications techniques</w:t>
      </w:r>
    </w:p>
    <w:p w:rsidR="007F19CA" w:rsidP="007F19CA" w14:paraId="17C10B21" w14:textId="77777777"/>
    <w:p w:rsidR="007F19CA" w:rsidP="007F19CA" w14:paraId="722E9E73" w14:textId="248B1261">
      <w:pPr>
        <w:pStyle w:val="Heading2"/>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fr-FR" w:eastAsia="en-US" w:bidi="ar-SA"/>
        </w:rPr>
        <w:t>2.1 Configuration matérielle requise</w:t>
      </w:r>
    </w:p>
    <w:p w:rsidR="007F19CA" w:rsidP="007F19CA" w14:paraId="01818942" w14:textId="3C311223">
      <w:pPr>
        <w:pStyle w:val="ListParagraph"/>
        <w:numPr>
          <w:ilvl w:val="0"/>
          <w:numId w:val="6"/>
        </w:numPr>
        <w:bidi w:val="0"/>
      </w:pPr>
      <w:r>
        <w:rPr>
          <w:rStyle w:val="DefaultParagraphFont"/>
          <w:rFonts w:ascii="Calibri" w:eastAsia="Calibri" w:hAnsi="Calibri" w:cs="Times New Roman"/>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Quad-core 2,5 GHz ou plus avec prise en charge de l’accélération matérielle</w:t>
      </w:r>
    </w:p>
    <w:p w:rsidR="007F19CA" w:rsidP="007F19CA" w14:paraId="617B569B" w14:textId="592E4FFE">
      <w:pPr>
        <w:pStyle w:val="ListParagraph"/>
        <w:numPr>
          <w:ilvl w:val="0"/>
          <w:numId w:val="6"/>
        </w:numPr>
        <w:bidi w:val="0"/>
      </w:pPr>
      <w:r>
        <w:rPr>
          <w:rStyle w:val="DefaultParagraphFont"/>
          <w:rFonts w:ascii="Calibri" w:eastAsia="Calibri" w:hAnsi="Calibri" w:cs="Times New Roman"/>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16 Go minimum, ECC (code correcteur d’erreurs) recommandé</w:t>
      </w:r>
    </w:p>
    <w:p w:rsidR="007F19CA" w:rsidP="007F19CA" w14:paraId="53B669E6" w14:textId="1A6963D3">
      <w:pPr>
        <w:pStyle w:val="ListParagraph"/>
        <w:numPr>
          <w:ilvl w:val="0"/>
          <w:numId w:val="6"/>
        </w:numPr>
        <w:bidi w:val="0"/>
      </w:pPr>
      <w:r>
        <w:rPr>
          <w:rStyle w:val="DefaultParagraphFont"/>
          <w:rFonts w:ascii="Calibri" w:eastAsia="Calibri" w:hAnsi="Calibri" w:cs="Times New Roman"/>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200 Go minimum, SSD pour des performances optimales</w:t>
      </w:r>
    </w:p>
    <w:p w:rsidR="007F19CA" w:rsidP="007F19CA" w14:paraId="18098FF2" w14:textId="00BC54B5">
      <w:pPr>
        <w:pStyle w:val="ListParagraph"/>
        <w:numPr>
          <w:ilvl w:val="0"/>
          <w:numId w:val="6"/>
        </w:numPr>
        <w:bidi w:val="0"/>
      </w:pP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Cartes d’interface réseau (NIC) :</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Double Ethernet Ethernet avec prise en charge des trames jumbo</w:t>
      </w:r>
    </w:p>
    <w:p w:rsidR="007F19CA" w:rsidP="007F19CA" w14:paraId="41E40643" w14:textId="77777777"/>
    <w:p w:rsidR="007F19CA" w:rsidP="007F19CA" w14:paraId="68C148B7" w14:textId="064CDDB9">
      <w:pPr>
        <w:pStyle w:val="Heading2"/>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fr-FR" w:eastAsia="en-US" w:bidi="ar-SA"/>
        </w:rPr>
        <w:t>2.2 Configuration logicielle requise</w:t>
      </w:r>
    </w:p>
    <w:p w:rsidR="007F19CA" w:rsidP="007F19CA" w14:paraId="5A0F7AFB" w14:textId="326EEBF5">
      <w:pPr>
        <w:pStyle w:val="ListParagraph"/>
        <w:numPr>
          <w:ilvl w:val="0"/>
          <w:numId w:val="8"/>
        </w:numPr>
        <w:bidi w:val="0"/>
      </w:pPr>
      <w:r>
        <w:rPr>
          <w:rStyle w:val="DefaultParagraphFont"/>
          <w:rFonts w:ascii="Calibri" w:eastAsia="Calibri" w:hAnsi="Calibri" w:cs="Times New Roman"/>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Compatible avec Windows Server 2019 et versions plus récentes, CentOS 8 ou équivalent</w:t>
      </w:r>
    </w:p>
    <w:p w:rsidR="007F19CA" w:rsidP="007F19CA" w14:paraId="1EEDDB9B" w14:textId="59963C79">
      <w:pPr>
        <w:pStyle w:val="ListParagraph"/>
        <w:numPr>
          <w:ilvl w:val="0"/>
          <w:numId w:val="8"/>
        </w:numPr>
        <w:bidi w:val="0"/>
      </w:pPr>
      <w:r>
        <w:rPr>
          <w:rStyle w:val="DefaultParagraphFont"/>
          <w:rFonts w:ascii="Calibri" w:eastAsia="Calibri" w:hAnsi="Calibri" w:cs="Times New Roman"/>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PostgreSQL 13 pour le stockage des données, optimisé pour une indexation performante</w:t>
      </w:r>
    </w:p>
    <w:p w:rsidR="007F19CA" w:rsidP="007F19CA" w14:paraId="260E9CC8" w14:textId="5477F458">
      <w:pPr>
        <w:pStyle w:val="ListParagraph"/>
        <w:numPr>
          <w:ilvl w:val="0"/>
          <w:numId w:val="8"/>
        </w:numPr>
        <w:bidi w:val="0"/>
      </w:pPr>
      <w:r>
        <w:rPr>
          <w:rStyle w:val="DefaultParagraphFont"/>
          <w:rFonts w:ascii="Calibri" w:eastAsia="Calibri" w:hAnsi="Calibri" w:cs="Times New Roman"/>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Mises à jour automatisées des flux de renseignements sur les menaces et des correctifs de sécurité courants</w:t>
      </w:r>
    </w:p>
    <w:p w:rsidR="007F19CA" w:rsidP="007F19CA" w14:paraId="19A16579" w14:textId="77777777"/>
    <w:p w:rsidR="007F19CA" w:rsidP="007F19CA" w14:paraId="2BE77A1C" w14:textId="4DE2A473">
      <w:pPr>
        <w:pStyle w:val="Heading2"/>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fr-FR" w:eastAsia="en-US" w:bidi="ar-SA"/>
        </w:rPr>
        <w:t>2.3 Compatibilité réseau</w:t>
      </w:r>
    </w:p>
    <w:p w:rsidR="007F19CA" w:rsidP="007F19CA" w14:paraId="6A44485B" w14:textId="71B24275">
      <w:pPr>
        <w:pStyle w:val="ListParagraph"/>
        <w:numPr>
          <w:ilvl w:val="0"/>
          <w:numId w:val="10"/>
        </w:numPr>
        <w:bidi w:val="0"/>
      </w:pPr>
      <w:r>
        <w:rPr>
          <w:rStyle w:val="DefaultParagraphFont"/>
          <w:rFonts w:ascii="Calibri" w:eastAsia="Calibri" w:hAnsi="Calibri" w:cs="Times New Roman"/>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TCP/IP, UDP, ICMP, IPv6 support</w:t>
      </w:r>
    </w:p>
    <w:p w:rsidR="007F19CA" w:rsidP="007F19CA" w14:paraId="5898B023" w14:textId="18C2A66B">
      <w:pPr>
        <w:pStyle w:val="ListParagraph"/>
        <w:numPr>
          <w:ilvl w:val="0"/>
          <w:numId w:val="10"/>
        </w:numPr>
        <w:bidi w:val="0"/>
      </w:pPr>
      <w:r>
        <w:rPr>
          <w:rStyle w:val="DefaultParagraphFont"/>
          <w:rFonts w:ascii="Calibri" w:eastAsia="Calibri" w:hAnsi="Calibri" w:cs="Times New Roman"/>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Intégration transparente avec les protocoles de routage BGP et OSPF</w:t>
      </w:r>
    </w:p>
    <w:p w:rsidR="007F19CA" w:rsidP="007F19CA" w14:paraId="74AA09D3" w14:textId="526107D2">
      <w:pPr>
        <w:pStyle w:val="ListParagraph"/>
        <w:numPr>
          <w:ilvl w:val="0"/>
          <w:numId w:val="10"/>
        </w:numPr>
        <w:bidi w:val="0"/>
      </w:pPr>
      <w:r>
        <w:rPr>
          <w:rStyle w:val="DefaultParagraphFont"/>
          <w:rFonts w:ascii="Calibri" w:eastAsia="Calibri" w:hAnsi="Calibri" w:cs="Times New Roman"/>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Interopérabilité avec Cisco, Juniper et d’autres grands fournisseurs de réseaux</w:t>
      </w:r>
    </w:p>
    <w:p w:rsidR="007F19CA" w:rsidP="007F19CA" w14:paraId="3A47DF0F" w14:textId="77777777"/>
    <w:p w:rsidR="007F19CA" w:rsidP="007F19CA" w14:paraId="72452294" w14:textId="21921E2A">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en-US" w:bidi="ar-SA"/>
        </w:rPr>
        <w:t>3.</w:t>
      </w: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en-US" w:bidi="ar-SA"/>
        </w:rPr>
        <w:t>Plan d'implémentation</w:t>
      </w:r>
    </w:p>
    <w:p w:rsidR="007F19CA" w:rsidP="007F19CA" w14:paraId="614C89B1" w14:textId="77777777"/>
    <w:p w:rsidR="007F19CA" w:rsidP="007F19CA" w14:paraId="6DAEA9D1" w14:textId="0ACBA9FF">
      <w:pPr>
        <w:pStyle w:val="Heading2"/>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fr-FR" w:eastAsia="en-US" w:bidi="ar-SA"/>
        </w:rPr>
        <w:t>3.1 Étapes de déploiement</w:t>
      </w:r>
    </w:p>
    <w:p w:rsidR="007F19CA" w:rsidP="007F19CA" w14:paraId="34901223" w14:textId="734BA9B3">
      <w:pPr>
        <w:pStyle w:val="ListParagraph"/>
        <w:numPr>
          <w:ilvl w:val="0"/>
          <w:numId w:val="12"/>
        </w:numPr>
        <w:bidi w:val="0"/>
      </w:pPr>
      <w:r>
        <w:rPr>
          <w:rStyle w:val="DefaultParagraphFont"/>
          <w:rFonts w:ascii="Calibri" w:eastAsia="Calibri" w:hAnsi="Calibri" w:cs="Times New Roman"/>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Élaboration d’une évaluation complète de la vulnérabilité du réseau, y compris des tests de pénétration et une analyse des risques.</w:t>
      </w:r>
      <w:r>
        <w:rPr>
          <w:rStyle w:val="DefaultParagraphFont"/>
          <w:rFonts w:ascii="Calibri" w:eastAsia="Calibri" w:hAnsi="Calibri" w:cs="Times New Roman"/>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br/>
      </w:r>
    </w:p>
    <w:p w:rsidR="007F19CA" w:rsidP="007F19CA" w14:paraId="2C8E02B9" w14:textId="38BA36CF">
      <w:pPr>
        <w:pStyle w:val="ListParagraph"/>
        <w:numPr>
          <w:ilvl w:val="0"/>
          <w:numId w:val="12"/>
        </w:numPr>
        <w:bidi w:val="0"/>
      </w:pPr>
      <w:r>
        <w:rPr>
          <w:rStyle w:val="DefaultParagraphFont"/>
          <w:rFonts w:ascii="Calibri" w:eastAsia="Calibri" w:hAnsi="Calibri" w:cs="Times New Roman"/>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Déploiement de Contoso CipherGuard Sentinel X7 sur des serveurs dédiés ou des machines virtuelles, afin d’optimiser l’utilisation du matériel et l’allocation des ressources.</w:t>
      </w:r>
      <w:r>
        <w:rPr>
          <w:rStyle w:val="DefaultParagraphFont"/>
          <w:rFonts w:ascii="Calibri" w:eastAsia="Calibri" w:hAnsi="Calibri" w:cs="Times New Roman"/>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br/>
      </w:r>
    </w:p>
    <w:p w:rsidR="007F19CA" w:rsidP="007F19CA" w14:paraId="4C365DF5" w14:textId="5AD56390">
      <w:pPr>
        <w:pStyle w:val="ListParagraph"/>
        <w:numPr>
          <w:ilvl w:val="0"/>
          <w:numId w:val="12"/>
        </w:numPr>
        <w:bidi w:val="0"/>
      </w:pPr>
      <w:r>
        <w:rPr>
          <w:rStyle w:val="DefaultParagraphFont"/>
          <w:rFonts w:ascii="Calibri" w:eastAsia="Calibri" w:hAnsi="Calibri" w:cs="Times New Roman"/>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Personnalisation des politiques de sécurité, des contrôles d’accès et des règles de pare-feu, en fonction des besoins de l’organisation.</w:t>
      </w:r>
      <w:r>
        <w:rPr>
          <w:rStyle w:val="DefaultParagraphFont"/>
          <w:rFonts w:ascii="Calibri" w:eastAsia="Calibri" w:hAnsi="Calibri" w:cs="Times New Roman"/>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Calibri" w:eastAsia="Calibri" w:hAnsi="Calibri" w:cs="Times New Roman"/>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Réglage des paramètres de détection des intrusions pour une précision maximale.</w:t>
      </w:r>
      <w:r>
        <w:rPr>
          <w:rStyle w:val="DefaultParagraphFont"/>
          <w:rFonts w:ascii="Calibri" w:eastAsia="Calibri" w:hAnsi="Calibri" w:cs="Times New Roman"/>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br/>
      </w:r>
    </w:p>
    <w:p w:rsidR="007F19CA" w:rsidP="007F19CA" w14:paraId="35C0CFCE" w14:textId="47596646">
      <w:pPr>
        <w:pStyle w:val="ListParagraph"/>
        <w:numPr>
          <w:ilvl w:val="0"/>
          <w:numId w:val="12"/>
        </w:numPr>
        <w:bidi w:val="0"/>
      </w:pPr>
      <w:r>
        <w:rPr>
          <w:rStyle w:val="DefaultParagraphFont"/>
          <w:rFonts w:ascii="Calibri" w:eastAsia="Calibri" w:hAnsi="Calibri" w:cs="Times New Roman"/>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Exécution d’un plan de test complet, avec des scénarios d’attaques simulées et des tests de charge, visant à valider l’efficacité et la performance de la solution.</w:t>
      </w:r>
      <w:r>
        <w:rPr>
          <w:rStyle w:val="DefaultParagraphFont"/>
          <w:rFonts w:ascii="Calibri" w:eastAsia="Calibri" w:hAnsi="Calibri" w:cs="Times New Roman"/>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br/>
      </w:r>
    </w:p>
    <w:p w:rsidR="007F19CA" w:rsidP="007F19CA" w14:paraId="40F0CF6D" w14:textId="37BCA709">
      <w:pPr>
        <w:pStyle w:val="ListParagraph"/>
        <w:numPr>
          <w:ilvl w:val="0"/>
          <w:numId w:val="12"/>
        </w:numPr>
        <w:bidi w:val="0"/>
      </w:pPr>
      <w:r>
        <w:rPr>
          <w:rStyle w:val="DefaultParagraphFont"/>
          <w:rFonts w:ascii="Calibri" w:eastAsia="Calibri" w:hAnsi="Calibri" w:cs="Times New Roman"/>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Organisation de sessions de formation approfondie destinée aux équipes informatiques, couvrant les opérations quotidiennes, les procédures de réponse aux incidents et les tâches de maintenance.</w:t>
      </w:r>
    </w:p>
    <w:p w:rsidR="007F19CA" w:rsidP="007F19CA" w14:paraId="71526E46" w14:textId="77777777"/>
    <w:p w:rsidR="007F19CA" w:rsidP="00B44197" w14:paraId="5335E189" w14:textId="0A7477A8">
      <w:pPr>
        <w:pStyle w:val="Heading2"/>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fr-FR" w:eastAsia="en-US" w:bidi="ar-SA"/>
        </w:rPr>
        <w:t>3.2 Maintenance et support</w:t>
      </w:r>
    </w:p>
    <w:p w:rsidR="007F19CA" w:rsidP="007F19CA" w14:paraId="6776BF70" w14:textId="4BB578E6">
      <w:pPr>
        <w:pStyle w:val="ListParagraph"/>
        <w:numPr>
          <w:ilvl w:val="0"/>
          <w:numId w:val="14"/>
        </w:numPr>
        <w:bidi w:val="0"/>
      </w:pPr>
      <w:r>
        <w:rPr>
          <w:rStyle w:val="DefaultParagraphFont"/>
          <w:rFonts w:ascii="Calibri" w:eastAsia="Calibri" w:hAnsi="Calibri" w:cs="Times New Roman"/>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Contoso garantit des mises à jour continues du produit, intégrant les dernières informations sur les menaces et les améliorations en matière de sécurité.</w:t>
      </w:r>
      <w:r>
        <w:rPr>
          <w:rStyle w:val="DefaultParagraphFont"/>
          <w:rFonts w:ascii="Calibri" w:eastAsia="Calibri" w:hAnsi="Calibri" w:cs="Times New Roman"/>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br/>
      </w:r>
    </w:p>
    <w:p w:rsidR="007F19CA" w:rsidP="007F19CA" w14:paraId="519B1A35" w14:textId="5F27870A">
      <w:pPr>
        <w:pStyle w:val="ListParagraph"/>
        <w:numPr>
          <w:ilvl w:val="0"/>
          <w:numId w:val="14"/>
        </w:numPr>
        <w:bidi w:val="0"/>
      </w:pPr>
      <w:r>
        <w:rPr>
          <w:rStyle w:val="DefaultParagraphFont"/>
          <w:rFonts w:ascii="Calibri" w:eastAsia="Calibri" w:hAnsi="Calibri" w:cs="Times New Roman"/>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Contoso vous permet de consulter les membres d’une équipe d’assistance dédiée, disponible 24 heures sur 24 et 7 jours sur 7, pour garantir une assistance rapide en cas de problèmes techniques ou de questions relatives à Contoso CipherGuard Sentinel X7.</w:t>
      </w:r>
    </w:p>
    <w:p w:rsidR="00F73AC3" w:rsidP="007F19CA" w14:paraId="13BC7B51" w14:textId="2AD4E6C3"/>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932619D"/>
    <w:multiLevelType w:val="hybridMultilevel"/>
    <w:tmpl w:val="C6FC53B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120D3E18"/>
    <w:multiLevelType w:val="hybridMultilevel"/>
    <w:tmpl w:val="C4FED21C"/>
    <w:lvl w:ilvl="0">
      <w:start w:val="0"/>
      <w:numFmt w:val="bullet"/>
      <w:lvlText w:val="-"/>
      <w:lvlJc w:val="left"/>
      <w:pPr>
        <w:ind w:left="720" w:hanging="360"/>
      </w:pPr>
      <w:rPr>
        <w:rFonts w:ascii="Calibri" w:hAnsi="Calibri" w:eastAsiaTheme="minorHAnsi" w:cs="Calibr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1B2055AD"/>
    <w:multiLevelType w:val="hybridMultilevel"/>
    <w:tmpl w:val="1458EE2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1BE60567"/>
    <w:multiLevelType w:val="hybridMultilevel"/>
    <w:tmpl w:val="0088AE8E"/>
    <w:lvl w:ilvl="0">
      <w:start w:val="0"/>
      <w:numFmt w:val="bullet"/>
      <w:lvlText w:val="-"/>
      <w:lvlJc w:val="left"/>
      <w:pPr>
        <w:ind w:left="720" w:hanging="360"/>
      </w:pPr>
      <w:rPr>
        <w:rFonts w:ascii="Calibri" w:hAnsi="Calibri" w:eastAsiaTheme="minorHAnsi" w:cs="Calibr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201F7162"/>
    <w:multiLevelType w:val="hybridMultilevel"/>
    <w:tmpl w:val="1A9C365C"/>
    <w:lvl w:ilvl="0">
      <w:start w:val="0"/>
      <w:numFmt w:val="bullet"/>
      <w:lvlText w:val="-"/>
      <w:lvlJc w:val="left"/>
      <w:pPr>
        <w:ind w:left="720" w:hanging="360"/>
      </w:pPr>
      <w:rPr>
        <w:rFonts w:ascii="Calibri" w:hAnsi="Calibri" w:eastAsiaTheme="minorHAnsi" w:cs="Calibr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29612FD2"/>
    <w:multiLevelType w:val="hybridMultilevel"/>
    <w:tmpl w:val="F38E3B0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2CE910E1"/>
    <w:multiLevelType w:val="hybridMultilevel"/>
    <w:tmpl w:val="96EED87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42545A9F"/>
    <w:multiLevelType w:val="hybridMultilevel"/>
    <w:tmpl w:val="977E29D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47A07FAE"/>
    <w:multiLevelType w:val="hybridMultilevel"/>
    <w:tmpl w:val="043A828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490A3884"/>
    <w:multiLevelType w:val="hybridMultilevel"/>
    <w:tmpl w:val="BB0EBDE6"/>
    <w:lvl w:ilvl="0">
      <w:start w:val="5"/>
      <w:numFmt w:val="bullet"/>
      <w:lvlText w:val="-"/>
      <w:lvlJc w:val="left"/>
      <w:pPr>
        <w:ind w:left="720" w:hanging="360"/>
      </w:pPr>
      <w:rPr>
        <w:rFonts w:ascii="Calibri" w:hAnsi="Calibri" w:eastAsiaTheme="minorHAnsi" w:cs="Calibr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4B45685F"/>
    <w:multiLevelType w:val="hybridMultilevel"/>
    <w:tmpl w:val="86FA8E2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4DFA299C"/>
    <w:multiLevelType w:val="hybridMultilevel"/>
    <w:tmpl w:val="EB70E8B6"/>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5C853371"/>
    <w:multiLevelType w:val="hybridMultilevel"/>
    <w:tmpl w:val="41D86136"/>
    <w:lvl w:ilvl="0">
      <w:start w:val="0"/>
      <w:numFmt w:val="bullet"/>
      <w:lvlText w:val="-"/>
      <w:lvlJc w:val="left"/>
      <w:pPr>
        <w:ind w:left="720" w:hanging="360"/>
      </w:pPr>
      <w:rPr>
        <w:rFonts w:ascii="Calibri" w:hAnsi="Calibri" w:eastAsiaTheme="minorHAnsi" w:cs="Calibr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612102A7"/>
    <w:multiLevelType w:val="hybridMultilevel"/>
    <w:tmpl w:val="D7FC8A1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7B774B66"/>
    <w:multiLevelType w:val="hybridMultilevel"/>
    <w:tmpl w:val="1F627334"/>
    <w:lvl w:ilvl="0">
      <w:start w:val="0"/>
      <w:numFmt w:val="bullet"/>
      <w:lvlText w:val="-"/>
      <w:lvlJc w:val="left"/>
      <w:pPr>
        <w:ind w:left="720" w:hanging="360"/>
      </w:pPr>
      <w:rPr>
        <w:rFonts w:ascii="Calibri" w:hAnsi="Calibri" w:eastAsiaTheme="minorHAnsi" w:cs="Calibr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16cid:durableId="273488861">
    <w:abstractNumId w:val="6"/>
  </w:num>
  <w:num w:numId="2" w16cid:durableId="756051998">
    <w:abstractNumId w:val="3"/>
  </w:num>
  <w:num w:numId="3" w16cid:durableId="956831798">
    <w:abstractNumId w:val="5"/>
  </w:num>
  <w:num w:numId="4" w16cid:durableId="2140756604">
    <w:abstractNumId w:val="2"/>
  </w:num>
  <w:num w:numId="5" w16cid:durableId="1781876344">
    <w:abstractNumId w:val="4"/>
  </w:num>
  <w:num w:numId="6" w16cid:durableId="713189618">
    <w:abstractNumId w:val="8"/>
  </w:num>
  <w:num w:numId="7" w16cid:durableId="205676696">
    <w:abstractNumId w:val="1"/>
  </w:num>
  <w:num w:numId="8" w16cid:durableId="1395009927">
    <w:abstractNumId w:val="13"/>
  </w:num>
  <w:num w:numId="9" w16cid:durableId="1482424808">
    <w:abstractNumId w:val="14"/>
  </w:num>
  <w:num w:numId="10" w16cid:durableId="814569085">
    <w:abstractNumId w:val="10"/>
  </w:num>
  <w:num w:numId="11" w16cid:durableId="1418942803">
    <w:abstractNumId w:val="12"/>
  </w:num>
  <w:num w:numId="12" w16cid:durableId="1621061961">
    <w:abstractNumId w:val="11"/>
  </w:num>
  <w:num w:numId="13" w16cid:durableId="639501988">
    <w:abstractNumId w:val="0"/>
  </w:num>
  <w:num w:numId="14" w16cid:durableId="1853034684">
    <w:abstractNumId w:val="7"/>
  </w:num>
  <w:num w:numId="15" w16cid:durableId="2358240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9CA"/>
    <w:rsid w:val="0003081F"/>
    <w:rsid w:val="006F5A44"/>
    <w:rsid w:val="007F19CA"/>
    <w:rsid w:val="00925632"/>
    <w:rsid w:val="00984E07"/>
    <w:rsid w:val="00B44197"/>
    <w:rsid w:val="00CD0A06"/>
    <w:rsid w:val="00F73AC3"/>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73CEA0AD"/>
  <w15:chartTrackingRefBased/>
  <w15:docId w15:val="{E92997AB-1FFC-44FB-97A5-C798C13EA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hAnsi="Calibr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1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F1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19C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19C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F19C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F19C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F19C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F19C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F19C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F1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19C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19C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F19C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F19C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F19C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F19C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F19C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F1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1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19C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19C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F19CA"/>
    <w:pPr>
      <w:spacing w:before="160"/>
      <w:jc w:val="center"/>
    </w:pPr>
    <w:rPr>
      <w:i/>
      <w:iCs/>
      <w:color w:val="404040" w:themeColor="text1" w:themeTint="BF"/>
    </w:rPr>
  </w:style>
  <w:style w:type="character" w:customStyle="1" w:styleId="QuoteChar">
    <w:name w:val="Quote Char"/>
    <w:basedOn w:val="DefaultParagraphFont"/>
    <w:link w:val="Quote"/>
    <w:uiPriority w:val="29"/>
    <w:rsid w:val="007F19CA"/>
    <w:rPr>
      <w:i/>
      <w:iCs/>
      <w:color w:val="404040" w:themeColor="text1" w:themeTint="BF"/>
    </w:rPr>
  </w:style>
  <w:style w:type="paragraph" w:styleId="ListParagraph">
    <w:name w:val="List Paragraph"/>
    <w:basedOn w:val="Normal"/>
    <w:uiPriority w:val="34"/>
    <w:qFormat/>
    <w:rsid w:val="007F19CA"/>
    <w:pPr>
      <w:ind w:left="720"/>
      <w:contextualSpacing/>
    </w:pPr>
  </w:style>
  <w:style w:type="character" w:styleId="IntenseEmphasis">
    <w:name w:val="Intense Emphasis"/>
    <w:basedOn w:val="DefaultParagraphFont"/>
    <w:uiPriority w:val="21"/>
    <w:qFormat/>
    <w:rsid w:val="007F19CA"/>
    <w:rPr>
      <w:i/>
      <w:iCs/>
      <w:color w:val="0F4761" w:themeColor="accent1" w:themeShade="BF"/>
    </w:rPr>
  </w:style>
  <w:style w:type="paragraph" w:styleId="IntenseQuote">
    <w:name w:val="Intense Quote"/>
    <w:basedOn w:val="Normal"/>
    <w:next w:val="Normal"/>
    <w:link w:val="IntenseQuoteChar"/>
    <w:uiPriority w:val="30"/>
    <w:qFormat/>
    <w:rsid w:val="007F1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19CA"/>
    <w:rPr>
      <w:i/>
      <w:iCs/>
      <w:color w:val="0F4761" w:themeColor="accent1" w:themeShade="BF"/>
    </w:rPr>
  </w:style>
  <w:style w:type="character" w:styleId="IntenseReference">
    <w:name w:val="Intense Reference"/>
    <w:basedOn w:val="DefaultParagraphFont"/>
    <w:uiPriority w:val="32"/>
    <w:qFormat/>
    <w:rsid w:val="007F19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15</TotalTime>
  <Pages>1</Pages>
  <Words>735</Words>
  <Characters>4194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Matt Quinlan</cp:lastModifiedBy>
  <cp:revision>3</cp:revision>
  <dcterms:created xsi:type="dcterms:W3CDTF">2024-01-14T19:10:00Z</dcterms:created>
  <dcterms:modified xsi:type="dcterms:W3CDTF">2024-06-26T16:45:00Z</dcterms:modified>
</cp:coreProperties>
</file>