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A9EE" w14:textId="4168E55B" w:rsidR="007F19CA" w:rsidRDefault="007F19CA" w:rsidP="007F19CA">
      <w:pPr>
        <w:pStyle w:val="Title"/>
        <w:jc w:val="center"/>
      </w:pPr>
      <w:r>
        <w:t>Document de spécification produit</w:t>
      </w:r>
    </w:p>
    <w:p w14:paraId="0B15FB29" w14:textId="3E2D2E9F" w:rsidR="007F19CA" w:rsidRPr="007F19CA" w:rsidRDefault="007F19CA" w:rsidP="007F19CA">
      <w:pPr>
        <w:pStyle w:val="Heading1"/>
        <w:jc w:val="center"/>
      </w:pPr>
      <w:proofErr w:type="spellStart"/>
      <w:r>
        <w:t>Contoso</w:t>
      </w:r>
      <w:proofErr w:type="spellEnd"/>
      <w:r>
        <w:t xml:space="preserve"> </w:t>
      </w:r>
      <w:proofErr w:type="spellStart"/>
      <w:r>
        <w:t>CipherGuard</w:t>
      </w:r>
      <w:proofErr w:type="spellEnd"/>
      <w:r>
        <w:t xml:space="preserve"> Sentinel X7</w:t>
      </w:r>
    </w:p>
    <w:p w14:paraId="4A8ECB41" w14:textId="77777777" w:rsidR="007F19CA" w:rsidRDefault="007F19CA" w:rsidP="007F19CA"/>
    <w:p w14:paraId="63185481" w14:textId="4E671118" w:rsidR="007F19CA" w:rsidRDefault="007F19CA" w:rsidP="007F19CA">
      <w:pPr>
        <w:pStyle w:val="Heading1"/>
      </w:pPr>
      <w:r>
        <w:t>1. Vue d’ensemble du produit</w:t>
      </w:r>
    </w:p>
    <w:p w14:paraId="376EB52D" w14:textId="77777777" w:rsidR="007F19CA" w:rsidRDefault="007F19CA" w:rsidP="007F19CA"/>
    <w:p w14:paraId="2D2950CC" w14:textId="39A0454D" w:rsidR="007F19CA" w:rsidRDefault="007F19CA" w:rsidP="007F19CA">
      <w:pPr>
        <w:pStyle w:val="Heading2"/>
      </w:pPr>
      <w:r>
        <w:t>1.1 Introduction</w:t>
      </w:r>
    </w:p>
    <w:p w14:paraId="250D6699" w14:textId="77777777" w:rsidR="007F19CA" w:rsidRDefault="007F19CA" w:rsidP="007F19CA"/>
    <w:p w14:paraId="0E25AFCF" w14:textId="4C57A282" w:rsidR="007F19CA" w:rsidRDefault="007F19CA" w:rsidP="007F19CA">
      <w:proofErr w:type="spellStart"/>
      <w:r>
        <w:t>Contoso</w:t>
      </w:r>
      <w:proofErr w:type="spellEnd"/>
      <w:r>
        <w:t xml:space="preserve"> </w:t>
      </w:r>
      <w:proofErr w:type="spellStart"/>
      <w:r>
        <w:t>CipherGuard</w:t>
      </w:r>
      <w:proofErr w:type="spellEnd"/>
      <w:r>
        <w:t xml:space="preserve"> Sentinel X7 est un produit de sécurité avancé et résilient, méticuleusement conçu pour renforcer l’infrastructure du réseau informatique contre un large éventail de menaces et de vulnérabilités. Ce document présente les subtilités des spécifications techniques, des caractéristiques et des fonctionnalités du </w:t>
      </w:r>
      <w:proofErr w:type="spellStart"/>
      <w:r>
        <w:t>Contoso</w:t>
      </w:r>
      <w:proofErr w:type="spellEnd"/>
      <w:r>
        <w:t xml:space="preserve"> </w:t>
      </w:r>
      <w:proofErr w:type="spellStart"/>
      <w:r>
        <w:t>CipherGuard</w:t>
      </w:r>
      <w:proofErr w:type="spellEnd"/>
      <w:r>
        <w:t xml:space="preserve"> Sentinel X7.</w:t>
      </w:r>
    </w:p>
    <w:p w14:paraId="56D662D4" w14:textId="77777777" w:rsidR="007F19CA" w:rsidRDefault="007F19CA" w:rsidP="007F19CA"/>
    <w:p w14:paraId="2C0580EC" w14:textId="311F2686" w:rsidR="007F19CA" w:rsidRDefault="007F19CA" w:rsidP="00B44197">
      <w:pPr>
        <w:pStyle w:val="Heading2"/>
      </w:pPr>
      <w:r>
        <w:t>1.2 Principales fonctionnalités</w:t>
      </w:r>
    </w:p>
    <w:p w14:paraId="420466B3" w14:textId="2D7B53F6" w:rsidR="007F19CA" w:rsidRDefault="007F19CA" w:rsidP="007F19CA">
      <w:pPr>
        <w:pStyle w:val="ListParagraph"/>
        <w:numPr>
          <w:ilvl w:val="0"/>
          <w:numId w:val="3"/>
        </w:numPr>
      </w:pPr>
      <w:r>
        <w:rPr>
          <w:b/>
        </w:rPr>
        <w:t>Protection par pare-feu</w:t>
      </w:r>
      <w:r>
        <w:t xml:space="preserve"> En utilisant un pare-feu à inspection d’état, </w:t>
      </w:r>
      <w:proofErr w:type="spellStart"/>
      <w:r>
        <w:t>Contoso</w:t>
      </w:r>
      <w:proofErr w:type="spellEnd"/>
      <w:r>
        <w:t xml:space="preserve"> </w:t>
      </w:r>
      <w:proofErr w:type="spellStart"/>
      <w:r>
        <w:t>CipherGuard</w:t>
      </w:r>
      <w:proofErr w:type="spellEnd"/>
      <w:r>
        <w:t xml:space="preserve"> Sentinel X7 emploie des techniques d’inspection approfondie des paquets. Il inspecte et analyse les paquets réseau au niveau de la couche d’application, ce qui permet un contrôle granulaire des flux de données. Le pare-feu adapte dynamiquement son ensemble de règles en fonction de l’évolution du contexte du réseau, ce qui permet d’atténuer les risques liés aux attaques de la couche d’application.</w:t>
      </w:r>
      <w:r>
        <w:br/>
      </w:r>
    </w:p>
    <w:p w14:paraId="07C28C47" w14:textId="6F50DE94" w:rsidR="007F19CA" w:rsidRDefault="007F19CA" w:rsidP="007F19CA">
      <w:pPr>
        <w:pStyle w:val="ListParagraph"/>
        <w:numPr>
          <w:ilvl w:val="0"/>
          <w:numId w:val="3"/>
        </w:numPr>
      </w:pPr>
      <w:r>
        <w:rPr>
          <w:b/>
        </w:rPr>
        <w:t xml:space="preserve">Système de détection et de prévention des intrusions (IDPS) : </w:t>
      </w:r>
      <w:r>
        <w:t>Grâce à des algorithmes d’apprentissage automatique, notre système IDPS surveille en permanence les schémas de trafic du réseau et les anomalies. Il s’appuie sur la détection basée sur les signatures, la détection des anomalies et l’analyse heuristique pour identifier et contrecarrer les menaces potentielles. Le système utilise des flux de renseignements sur les menaces, ce qui assure sa mise à jour avec les derniers schémas d’attaque connus.</w:t>
      </w:r>
      <w:r>
        <w:br/>
      </w:r>
    </w:p>
    <w:p w14:paraId="15BD3992" w14:textId="0C77C848" w:rsidR="007F19CA" w:rsidRDefault="007F19CA" w:rsidP="007F19CA">
      <w:pPr>
        <w:pStyle w:val="ListParagraph"/>
        <w:numPr>
          <w:ilvl w:val="0"/>
          <w:numId w:val="3"/>
        </w:numPr>
      </w:pPr>
      <w:r>
        <w:rPr>
          <w:b/>
        </w:rPr>
        <w:t xml:space="preserve">Prise en charge de VPN (réseau privé virtuel). </w:t>
      </w:r>
      <w:proofErr w:type="spellStart"/>
      <w:r>
        <w:t>Contoso</w:t>
      </w:r>
      <w:proofErr w:type="spellEnd"/>
      <w:r>
        <w:t xml:space="preserve"> </w:t>
      </w:r>
      <w:proofErr w:type="spellStart"/>
      <w:r>
        <w:t>CipherGuard</w:t>
      </w:r>
      <w:proofErr w:type="spellEnd"/>
      <w:r>
        <w:t xml:space="preserve"> Sentinel X7 prend en charge les protocoles VPN standard tels que </w:t>
      </w:r>
      <w:proofErr w:type="spellStart"/>
      <w:r>
        <w:t>IPsec</w:t>
      </w:r>
      <w:proofErr w:type="spellEnd"/>
      <w:r>
        <w:t xml:space="preserve"> et </w:t>
      </w:r>
      <w:proofErr w:type="spellStart"/>
      <w:r>
        <w:t>OpenVPN</w:t>
      </w:r>
      <w:proofErr w:type="spellEnd"/>
      <w:r>
        <w:t>. Il facilite la communication sécurisée sur les réseaux publics en cryptant les données en transit. Le module VPN utilise des algorithmes cryptographiques avancés, notamment AES-256, garantissant un canal de communication robuste et sécurisé pour les utilisateurs distants et les succursales.</w:t>
      </w:r>
      <w:r>
        <w:br/>
      </w:r>
    </w:p>
    <w:p w14:paraId="652F5489" w14:textId="6A4B3703" w:rsidR="007F19CA" w:rsidRDefault="007F19CA" w:rsidP="007F19CA">
      <w:pPr>
        <w:pStyle w:val="ListParagraph"/>
        <w:numPr>
          <w:ilvl w:val="0"/>
          <w:numId w:val="3"/>
        </w:numPr>
      </w:pPr>
      <w:r>
        <w:rPr>
          <w:b/>
        </w:rPr>
        <w:lastRenderedPageBreak/>
        <w:t>Sécurité des points de terminaison :</w:t>
      </w:r>
      <w:r>
        <w:t xml:space="preserve"> Grâce à une approche de défense multicouche, notre module de sécurité des points d’accès intègre des fonctionnalités antivirus, une protection contre les programmes malveillants et des fonctions de prévention des intrusions basées sur l’hôte. Il effectue une analyse comportementale et un balayage heuristique en temps réel, garantissant une détection proactive et l’endiguement des activités malveillantes. De plus, il s’intègre aux </w:t>
      </w:r>
      <w:proofErr w:type="spellStart"/>
      <w:r>
        <w:t>plate-formes</w:t>
      </w:r>
      <w:proofErr w:type="spellEnd"/>
      <w:r>
        <w:t xml:space="preserve"> </w:t>
      </w:r>
      <w:proofErr w:type="spellStart"/>
      <w:r>
        <w:t>Threat</w:t>
      </w:r>
      <w:proofErr w:type="spellEnd"/>
      <w:r>
        <w:t xml:space="preserve"> Intelligence pour réagir rapidement aux menaces émergentes.</w:t>
      </w:r>
      <w:r>
        <w:br/>
      </w:r>
    </w:p>
    <w:p w14:paraId="7D583AFE" w14:textId="628A6B85" w:rsidR="007F19CA" w:rsidRDefault="007F19CA" w:rsidP="007F19CA">
      <w:pPr>
        <w:pStyle w:val="ListParagraph"/>
        <w:numPr>
          <w:ilvl w:val="0"/>
          <w:numId w:val="4"/>
        </w:numPr>
      </w:pPr>
      <w:r>
        <w:rPr>
          <w:b/>
        </w:rPr>
        <w:t>Journalisation et supervision :</w:t>
      </w:r>
      <w:r>
        <w:t xml:space="preserve"> Le sous-système de journalisation et de surveillance recueille des données complètes sur les activités du réseau. Il comprend des journaux détaillés sur les modèles de trafic, les événements d’authentification des utilisateurs et les violations de la politique de sécurité. Intégrée au système de gestion des informations et des événements de sécurité (SIEM, Security Information and Event Management), cette fonction facilite la surveillance et l’analyse centralisées, permettant aux administrateurs de sécurité de réagir rapidement face aux incidents de sécurité potentiels.</w:t>
      </w:r>
      <w:r>
        <w:br/>
      </w:r>
    </w:p>
    <w:p w14:paraId="3CDC0E3F" w14:textId="2393839B" w:rsidR="007F19CA" w:rsidRDefault="007F19CA" w:rsidP="007F19CA">
      <w:pPr>
        <w:pStyle w:val="ListParagraph"/>
        <w:numPr>
          <w:ilvl w:val="0"/>
          <w:numId w:val="4"/>
        </w:numPr>
      </w:pPr>
      <w:r>
        <w:rPr>
          <w:b/>
        </w:rPr>
        <w:t>Authentification des utilisateurs et contrôle d’accès</w:t>
      </w:r>
      <w:r>
        <w:t xml:space="preserve"> : </w:t>
      </w:r>
      <w:proofErr w:type="spellStart"/>
      <w:r>
        <w:t>Contoso</w:t>
      </w:r>
      <w:proofErr w:type="spellEnd"/>
      <w:r>
        <w:t xml:space="preserve"> </w:t>
      </w:r>
      <w:proofErr w:type="spellStart"/>
      <w:r>
        <w:t>CipherGuard</w:t>
      </w:r>
      <w:proofErr w:type="spellEnd"/>
      <w:r>
        <w:t xml:space="preserve"> Sentinel X7 prend en charge les mécanismes d’authentification multifactorielle (MFA), notamment l’authentification biométrique et l’intégration des cartes à puce. Les politiques de contrôle d’accès sont basées sur les rôles des utilisateurs et s’appuient sur l’intégration du protocole LDAP et d’Active Directory. L’application dynamique des politiques garantit que seuls les utilisateurs autorisés ont accès aux ressources sensibles.</w:t>
      </w:r>
    </w:p>
    <w:p w14:paraId="611B56FC" w14:textId="77777777" w:rsidR="007F19CA" w:rsidRDefault="007F19CA" w:rsidP="007F19CA"/>
    <w:p w14:paraId="70E4E20D" w14:textId="1981BF3C" w:rsidR="007F19CA" w:rsidRDefault="007F19CA" w:rsidP="007F19CA">
      <w:pPr>
        <w:pStyle w:val="Heading1"/>
      </w:pPr>
      <w:r>
        <w:t>2. Spécifications techniques</w:t>
      </w:r>
    </w:p>
    <w:p w14:paraId="17C10B21" w14:textId="77777777" w:rsidR="007F19CA" w:rsidRDefault="007F19CA" w:rsidP="007F19CA"/>
    <w:p w14:paraId="722E9E73" w14:textId="248B1261" w:rsidR="007F19CA" w:rsidRDefault="007F19CA" w:rsidP="007F19CA">
      <w:pPr>
        <w:pStyle w:val="Heading2"/>
      </w:pPr>
      <w:r>
        <w:t>2.1 Configuration matérielle requise</w:t>
      </w:r>
    </w:p>
    <w:p w14:paraId="01818942" w14:textId="3C311223" w:rsidR="007F19CA" w:rsidRDefault="007F19CA" w:rsidP="007F19CA">
      <w:pPr>
        <w:pStyle w:val="ListParagraph"/>
        <w:numPr>
          <w:ilvl w:val="0"/>
          <w:numId w:val="6"/>
        </w:numPr>
      </w:pPr>
      <w:r>
        <w:rPr>
          <w:b/>
        </w:rPr>
        <w:t>Processeur :</w:t>
      </w:r>
      <w:r>
        <w:t xml:space="preserve"> Quad-</w:t>
      </w:r>
      <w:proofErr w:type="spellStart"/>
      <w:r>
        <w:t>core</w:t>
      </w:r>
      <w:proofErr w:type="spellEnd"/>
      <w:r>
        <w:t xml:space="preserve"> 2,5 GHz ou plus avec prise en charge de l’accélération matérielle</w:t>
      </w:r>
    </w:p>
    <w:p w14:paraId="617B569B" w14:textId="592E4FFE" w:rsidR="007F19CA" w:rsidRDefault="007F19CA" w:rsidP="007F19CA">
      <w:pPr>
        <w:pStyle w:val="ListParagraph"/>
        <w:numPr>
          <w:ilvl w:val="0"/>
          <w:numId w:val="6"/>
        </w:numPr>
      </w:pPr>
      <w:r>
        <w:rPr>
          <w:b/>
        </w:rPr>
        <w:t>Mémoire RAM :</w:t>
      </w:r>
      <w:r>
        <w:t xml:space="preserve"> 16 Go minimum, ECC (code correcteur d’erreurs) recommandé</w:t>
      </w:r>
    </w:p>
    <w:p w14:paraId="53B669E6" w14:textId="1A6963D3" w:rsidR="007F19CA" w:rsidRDefault="007F19CA" w:rsidP="007F19CA">
      <w:pPr>
        <w:pStyle w:val="ListParagraph"/>
        <w:numPr>
          <w:ilvl w:val="0"/>
          <w:numId w:val="6"/>
        </w:numPr>
      </w:pPr>
      <w:r>
        <w:rPr>
          <w:b/>
        </w:rPr>
        <w:t>Stockage :</w:t>
      </w:r>
      <w:r>
        <w:t xml:space="preserve"> 200 Go minimum, SSD pour des performances optimales</w:t>
      </w:r>
    </w:p>
    <w:p w14:paraId="18098FF2" w14:textId="00BC54B5" w:rsidR="007F19CA" w:rsidRDefault="007F19CA" w:rsidP="007F19CA">
      <w:pPr>
        <w:pStyle w:val="ListParagraph"/>
        <w:numPr>
          <w:ilvl w:val="0"/>
          <w:numId w:val="6"/>
        </w:numPr>
      </w:pPr>
      <w:r>
        <w:rPr>
          <w:b/>
        </w:rPr>
        <w:t>Cartes d’interface réseau (NIC) :</w:t>
      </w:r>
      <w:r>
        <w:t xml:space="preserve"> Double Ethernet Gigabit avec prise en charge des trames jumbo</w:t>
      </w:r>
    </w:p>
    <w:p w14:paraId="41E40643" w14:textId="77777777" w:rsidR="007F19CA" w:rsidRDefault="007F19CA" w:rsidP="007F19CA"/>
    <w:p w14:paraId="68C148B7" w14:textId="064CDDB9" w:rsidR="007F19CA" w:rsidRDefault="007F19CA" w:rsidP="007F19CA">
      <w:pPr>
        <w:pStyle w:val="Heading2"/>
      </w:pPr>
      <w:r>
        <w:t>2.2 Configuration logicielle requise</w:t>
      </w:r>
    </w:p>
    <w:p w14:paraId="5A0F7AFB" w14:textId="326EEBF5" w:rsidR="007F19CA" w:rsidRDefault="007F19CA" w:rsidP="007F19CA">
      <w:pPr>
        <w:pStyle w:val="ListParagraph"/>
        <w:numPr>
          <w:ilvl w:val="0"/>
          <w:numId w:val="8"/>
        </w:numPr>
      </w:pPr>
      <w:r>
        <w:rPr>
          <w:b/>
        </w:rPr>
        <w:t>Système d’exploitation :</w:t>
      </w:r>
      <w:r>
        <w:t xml:space="preserve"> Compatible avec Windows Server 2019 et versions plus récentes, CentOS 8 ou équivalent</w:t>
      </w:r>
    </w:p>
    <w:p w14:paraId="1EEDDB9B" w14:textId="59963C79" w:rsidR="007F19CA" w:rsidRDefault="007F19CA" w:rsidP="007F19CA">
      <w:pPr>
        <w:pStyle w:val="ListParagraph"/>
        <w:numPr>
          <w:ilvl w:val="0"/>
          <w:numId w:val="8"/>
        </w:numPr>
      </w:pPr>
      <w:r>
        <w:rPr>
          <w:b/>
        </w:rPr>
        <w:t>Base de données :</w:t>
      </w:r>
      <w:r>
        <w:t xml:space="preserve"> PostgreSQL 13 pour le stockage des données, optimisé pour une indexation performante</w:t>
      </w:r>
    </w:p>
    <w:p w14:paraId="260E9CC8" w14:textId="5477F458" w:rsidR="007F19CA" w:rsidRDefault="007F19CA" w:rsidP="007F19CA">
      <w:pPr>
        <w:pStyle w:val="ListParagraph"/>
        <w:numPr>
          <w:ilvl w:val="0"/>
          <w:numId w:val="8"/>
        </w:numPr>
      </w:pPr>
      <w:r>
        <w:rPr>
          <w:b/>
        </w:rPr>
        <w:t>Mises à jour de sécurité :</w:t>
      </w:r>
      <w:r>
        <w:t xml:space="preserve"> Mises à jour automatisées des flux de renseignements sur les menaces et des correctifs de sécurité courants</w:t>
      </w:r>
    </w:p>
    <w:p w14:paraId="2BE77A1C" w14:textId="4DE2A473" w:rsidR="007F19CA" w:rsidRDefault="007F19CA" w:rsidP="007F19CA">
      <w:pPr>
        <w:pStyle w:val="Heading2"/>
      </w:pPr>
      <w:r>
        <w:lastRenderedPageBreak/>
        <w:t>2.3 Compatibilité réseau</w:t>
      </w:r>
    </w:p>
    <w:p w14:paraId="6A44485B" w14:textId="71B24275" w:rsidR="007F19CA" w:rsidRDefault="007F19CA" w:rsidP="007F19CA">
      <w:pPr>
        <w:pStyle w:val="ListParagraph"/>
        <w:numPr>
          <w:ilvl w:val="0"/>
          <w:numId w:val="10"/>
        </w:numPr>
      </w:pPr>
      <w:r>
        <w:rPr>
          <w:b/>
        </w:rPr>
        <w:t>Protocoles :</w:t>
      </w:r>
      <w:r>
        <w:t xml:space="preserve"> TCP/IP, UDP, ICMP, IPv6 support</w:t>
      </w:r>
    </w:p>
    <w:p w14:paraId="5898B023" w14:textId="18C2A66B" w:rsidR="007F19CA" w:rsidRDefault="007F19CA" w:rsidP="007F19CA">
      <w:pPr>
        <w:pStyle w:val="ListParagraph"/>
        <w:numPr>
          <w:ilvl w:val="0"/>
          <w:numId w:val="10"/>
        </w:numPr>
      </w:pPr>
      <w:r>
        <w:rPr>
          <w:b/>
        </w:rPr>
        <w:t>Intégration :</w:t>
      </w:r>
      <w:r>
        <w:t xml:space="preserve"> Intégration transparente avec les protocoles de routage BGP et OSPF</w:t>
      </w:r>
    </w:p>
    <w:p w14:paraId="74AA09D3" w14:textId="526107D2" w:rsidR="007F19CA" w:rsidRDefault="007F19CA" w:rsidP="007F19CA">
      <w:pPr>
        <w:pStyle w:val="ListParagraph"/>
        <w:numPr>
          <w:ilvl w:val="0"/>
          <w:numId w:val="10"/>
        </w:numPr>
      </w:pPr>
      <w:r>
        <w:rPr>
          <w:b/>
        </w:rPr>
        <w:t>Compatibilité :</w:t>
      </w:r>
      <w:r>
        <w:t xml:space="preserve"> Interopérabilité avec Cisco, Juniper et d’autres grands fournisseurs de réseaux</w:t>
      </w:r>
    </w:p>
    <w:p w14:paraId="3A47DF0F" w14:textId="77777777" w:rsidR="007F19CA" w:rsidRDefault="007F19CA" w:rsidP="007F19CA"/>
    <w:p w14:paraId="72452294" w14:textId="21921E2A" w:rsidR="007F19CA" w:rsidRDefault="007F19CA" w:rsidP="007F19CA">
      <w:pPr>
        <w:pStyle w:val="Heading1"/>
      </w:pPr>
      <w:r>
        <w:t>3. Plan d’implémentation</w:t>
      </w:r>
    </w:p>
    <w:p w14:paraId="614C89B1" w14:textId="77777777" w:rsidR="007F19CA" w:rsidRDefault="007F19CA" w:rsidP="007F19CA"/>
    <w:p w14:paraId="6DAEA9D1" w14:textId="0ACBA9FF" w:rsidR="007F19CA" w:rsidRDefault="007F19CA" w:rsidP="007F19CA">
      <w:pPr>
        <w:pStyle w:val="Heading2"/>
      </w:pPr>
      <w:r>
        <w:t>3.1 Étapes de déploiement</w:t>
      </w:r>
    </w:p>
    <w:p w14:paraId="34901223" w14:textId="734BA9B3" w:rsidR="007F19CA" w:rsidRDefault="007F19CA" w:rsidP="007F19CA">
      <w:pPr>
        <w:pStyle w:val="ListParagraph"/>
        <w:numPr>
          <w:ilvl w:val="0"/>
          <w:numId w:val="12"/>
        </w:numPr>
      </w:pPr>
      <w:r>
        <w:rPr>
          <w:b/>
        </w:rPr>
        <w:t>Évaluation de pré-déploiement :</w:t>
      </w:r>
      <w:r>
        <w:t xml:space="preserve"> Élaboration d’une évaluation complète de la vulnérabilité du réseau, y compris des tests de pénétration et une analyse des risques.</w:t>
      </w:r>
      <w:r>
        <w:br/>
      </w:r>
    </w:p>
    <w:p w14:paraId="2C8E02B9" w14:textId="38BA36CF" w:rsidR="007F19CA" w:rsidRDefault="007F19CA" w:rsidP="007F19CA">
      <w:pPr>
        <w:pStyle w:val="ListParagraph"/>
        <w:numPr>
          <w:ilvl w:val="0"/>
          <w:numId w:val="12"/>
        </w:numPr>
      </w:pPr>
      <w:r>
        <w:rPr>
          <w:b/>
        </w:rPr>
        <w:t>Installation :</w:t>
      </w:r>
      <w:r>
        <w:t xml:space="preserve"> Déploiement de </w:t>
      </w:r>
      <w:proofErr w:type="spellStart"/>
      <w:r>
        <w:t>Contoso</w:t>
      </w:r>
      <w:proofErr w:type="spellEnd"/>
      <w:r>
        <w:t xml:space="preserve"> </w:t>
      </w:r>
      <w:proofErr w:type="spellStart"/>
      <w:r>
        <w:t>CipherGuard</w:t>
      </w:r>
      <w:proofErr w:type="spellEnd"/>
      <w:r>
        <w:t xml:space="preserve"> Sentinel X7 sur des serveurs dédiés ou des machines virtuelles, afin d’optimiser l’utilisation du matériel et l’allocation des ressources.</w:t>
      </w:r>
      <w:r>
        <w:br/>
      </w:r>
    </w:p>
    <w:p w14:paraId="4C365DF5" w14:textId="5AD56390" w:rsidR="007F19CA" w:rsidRDefault="007F19CA" w:rsidP="007F19CA">
      <w:pPr>
        <w:pStyle w:val="ListParagraph"/>
        <w:numPr>
          <w:ilvl w:val="0"/>
          <w:numId w:val="12"/>
        </w:numPr>
      </w:pPr>
      <w:r>
        <w:rPr>
          <w:b/>
        </w:rPr>
        <w:t>Configuration :</w:t>
      </w:r>
      <w:r>
        <w:t xml:space="preserve"> Personnalisation des politiques de sécurité, des contrôles d’accès et des règles de pare-feu, en fonction des besoins de l’organisation. Réglage des paramètres de détection des intrusions pour une précision maximale.</w:t>
      </w:r>
      <w:r>
        <w:br/>
      </w:r>
    </w:p>
    <w:p w14:paraId="35C0CFCE" w14:textId="47596646" w:rsidR="007F19CA" w:rsidRDefault="007F19CA" w:rsidP="007F19CA">
      <w:pPr>
        <w:pStyle w:val="ListParagraph"/>
        <w:numPr>
          <w:ilvl w:val="0"/>
          <w:numId w:val="12"/>
        </w:numPr>
      </w:pPr>
      <w:r>
        <w:rPr>
          <w:b/>
        </w:rPr>
        <w:t>Test :</w:t>
      </w:r>
      <w:r>
        <w:t xml:space="preserve"> Exécution d’un plan de test complet, avec des scénarios d’attaques simulées et des tests de charge, visant à valider l’efficacité et la performance de la solution.</w:t>
      </w:r>
      <w:r>
        <w:br/>
      </w:r>
    </w:p>
    <w:p w14:paraId="40F0CF6D" w14:textId="37BCA709" w:rsidR="007F19CA" w:rsidRDefault="007F19CA" w:rsidP="007F19CA">
      <w:pPr>
        <w:pStyle w:val="ListParagraph"/>
        <w:numPr>
          <w:ilvl w:val="0"/>
          <w:numId w:val="12"/>
        </w:numPr>
      </w:pPr>
      <w:r>
        <w:rPr>
          <w:b/>
        </w:rPr>
        <w:t>Formation :</w:t>
      </w:r>
      <w:r>
        <w:t xml:space="preserve"> Organisation de sessions de formation approfondie destinée aux équipes informatiques, couvrant les opérations quotidiennes, les procédures de réponse aux incidents et les tâches de maintenance.</w:t>
      </w:r>
    </w:p>
    <w:p w14:paraId="71526E46" w14:textId="77777777" w:rsidR="007F19CA" w:rsidRDefault="007F19CA" w:rsidP="007F19CA"/>
    <w:p w14:paraId="5335E189" w14:textId="0A7477A8" w:rsidR="007F19CA" w:rsidRDefault="007F19CA" w:rsidP="00B44197">
      <w:pPr>
        <w:pStyle w:val="Heading2"/>
      </w:pPr>
      <w:r>
        <w:t>3.2 Maintenance et support</w:t>
      </w:r>
    </w:p>
    <w:p w14:paraId="6776BF70" w14:textId="4BB578E6" w:rsidR="007F19CA" w:rsidRDefault="007F19CA" w:rsidP="007F19CA">
      <w:pPr>
        <w:pStyle w:val="ListParagraph"/>
        <w:numPr>
          <w:ilvl w:val="0"/>
          <w:numId w:val="14"/>
        </w:numPr>
      </w:pPr>
      <w:r>
        <w:rPr>
          <w:b/>
        </w:rPr>
        <w:t>Mises à jour ordinaires :</w:t>
      </w:r>
      <w:r>
        <w:t xml:space="preserve"> </w:t>
      </w:r>
      <w:proofErr w:type="spellStart"/>
      <w:r>
        <w:t>Contoso</w:t>
      </w:r>
      <w:proofErr w:type="spellEnd"/>
      <w:r>
        <w:t xml:space="preserve"> garantit des mises à jour continues du produit, intégrant les dernières informations sur les menaces et les améliorations en matière de sécurité.</w:t>
      </w:r>
      <w:r>
        <w:br/>
      </w:r>
    </w:p>
    <w:p w14:paraId="519B1A35" w14:textId="5F27870A" w:rsidR="007F19CA" w:rsidRDefault="007F19CA" w:rsidP="007F19CA">
      <w:pPr>
        <w:pStyle w:val="ListParagraph"/>
        <w:numPr>
          <w:ilvl w:val="0"/>
          <w:numId w:val="14"/>
        </w:numPr>
      </w:pPr>
      <w:r>
        <w:rPr>
          <w:b/>
        </w:rPr>
        <w:t>Support technique :</w:t>
      </w:r>
      <w:r>
        <w:t xml:space="preserve"> </w:t>
      </w:r>
      <w:proofErr w:type="spellStart"/>
      <w:r>
        <w:t>Contoso</w:t>
      </w:r>
      <w:proofErr w:type="spellEnd"/>
      <w:r>
        <w:t xml:space="preserve"> vous permet de consulter les membres d’une équipe d’assistance dédiée, disponible 24 heures sur 24 et 7 jours sur 7, pour garantir une assistance rapide en cas de problèmes techniques ou de questions relatives à </w:t>
      </w:r>
      <w:proofErr w:type="spellStart"/>
      <w:r>
        <w:t>Contoso</w:t>
      </w:r>
      <w:proofErr w:type="spellEnd"/>
      <w:r>
        <w:t xml:space="preserve"> </w:t>
      </w:r>
      <w:proofErr w:type="spellStart"/>
      <w:r>
        <w:t>CipherGuard</w:t>
      </w:r>
      <w:proofErr w:type="spellEnd"/>
      <w:r>
        <w:t xml:space="preserve"> Sentinel X7.</w:t>
      </w:r>
    </w:p>
    <w:p w14:paraId="13BC7B51" w14:textId="2AD4E6C3" w:rsidR="00F73AC3" w:rsidRDefault="00F73AC3" w:rsidP="007F19CA"/>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7F19CA"/>
    <w:rsid w:val="00984E07"/>
    <w:rsid w:val="00B44197"/>
    <w:rsid w:val="00CD0A06"/>
    <w:rsid w:val="00D35036"/>
    <w:rsid w:val="00F73A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3</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2</cp:revision>
  <cp:lastPrinted>2024-05-14T04:40:00Z</cp:lastPrinted>
  <dcterms:created xsi:type="dcterms:W3CDTF">2024-01-14T19:10:00Z</dcterms:created>
  <dcterms:modified xsi:type="dcterms:W3CDTF">2024-05-14T04:41:00Z</dcterms:modified>
</cp:coreProperties>
</file>