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Default="00BE3613" w:rsidP="001F443C">
      <w:pPr>
        <w:pStyle w:val="Heading1"/>
      </w:pPr>
      <w:r>
        <w:rPr>
          <w:rFonts w:ascii="Aptos Display" w:eastAsia="Aptos Display" w:hAnsi="Aptos Display" w:cs="Times New Roman"/>
          <w:color w:val="0F4761"/>
          <w:lang w:val="fr-FR"/>
        </w:rPr>
        <w:t>Accord avec le fournisseur Contoso</w:t>
      </w:r>
    </w:p>
    <w:p w14:paraId="0F4EB312" w14:textId="77777777" w:rsidR="001F443C" w:rsidRDefault="001F443C" w:rsidP="001F443C"/>
    <w:p w14:paraId="593874F5" w14:textId="30678337" w:rsidR="001F443C" w:rsidRPr="00BE3613" w:rsidRDefault="00BE3613" w:rsidP="001F443C">
      <w:pPr>
        <w:rPr>
          <w:lang w:val="fr-FR"/>
        </w:rPr>
      </w:pPr>
      <w:r>
        <w:rPr>
          <w:rStyle w:val="normaltextrun"/>
          <w:rFonts w:ascii="Aptos" w:eastAsia="Aptos" w:hAnsi="Aptos" w:cs="Arial"/>
          <w:color w:val="000000"/>
          <w:lang w:val="fr-FR"/>
        </w:rPr>
        <w:t xml:space="preserve">Northwind Traders est le fournisseur exclusif de boissons non alcoolisées et de jus pour Contoso. Les conditions de l’accord avec le </w:t>
      </w:r>
      <w:r>
        <w:rPr>
          <w:rStyle w:val="normaltextrun"/>
          <w:rFonts w:ascii="Aptos" w:eastAsia="Aptos" w:hAnsi="Aptos" w:cs="Arial"/>
          <w:color w:val="000000"/>
          <w:lang w:val="fr-FR"/>
        </w:rPr>
        <w:t>fournisseur négociées avec Contoso le 15 Septembre 2024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523" w14:paraId="1157B22D" w14:textId="77777777" w:rsidTr="00FE1640">
        <w:tc>
          <w:tcPr>
            <w:tcW w:w="4675" w:type="dxa"/>
          </w:tcPr>
          <w:p w14:paraId="65EBB66A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Conditions de paiement</w:t>
            </w:r>
          </w:p>
        </w:tc>
        <w:tc>
          <w:tcPr>
            <w:tcW w:w="4675" w:type="dxa"/>
          </w:tcPr>
          <w:p w14:paraId="1EC1F16D" w14:textId="1A567748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2/10 net 30</w:t>
            </w:r>
          </w:p>
        </w:tc>
      </w:tr>
      <w:tr w:rsidR="00B67523" w14:paraId="04947E03" w14:textId="77777777" w:rsidTr="00FE1640">
        <w:tc>
          <w:tcPr>
            <w:tcW w:w="4675" w:type="dxa"/>
          </w:tcPr>
          <w:p w14:paraId="6C5B1813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Frais de retard</w:t>
            </w:r>
          </w:p>
        </w:tc>
        <w:tc>
          <w:tcPr>
            <w:tcW w:w="4675" w:type="dxa"/>
          </w:tcPr>
          <w:p w14:paraId="7DB785C9" w14:textId="2B2AFA79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1,5 % par mois</w:t>
            </w:r>
          </w:p>
        </w:tc>
      </w:tr>
      <w:tr w:rsidR="00B67523" w14:paraId="44233B59" w14:textId="77777777" w:rsidTr="00FE1640">
        <w:tc>
          <w:tcPr>
            <w:tcW w:w="4675" w:type="dxa"/>
          </w:tcPr>
          <w:p w14:paraId="1A267FD3" w14:textId="1ABF3A72" w:rsidR="00C96A48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Remise pour paiement anticipé</w:t>
            </w:r>
          </w:p>
        </w:tc>
        <w:tc>
          <w:tcPr>
            <w:tcW w:w="4675" w:type="dxa"/>
          </w:tcPr>
          <w:p w14:paraId="52027A86" w14:textId="7788C9D1" w:rsidR="00C96A48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2 % de réduction sous 10 jours</w:t>
            </w:r>
          </w:p>
        </w:tc>
      </w:tr>
      <w:tr w:rsidR="00B67523" w14:paraId="5CDB03E9" w14:textId="77777777" w:rsidTr="00FE1640">
        <w:tc>
          <w:tcPr>
            <w:tcW w:w="4675" w:type="dxa"/>
          </w:tcPr>
          <w:p w14:paraId="4FB2F4A8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Date d'expiration</w:t>
            </w:r>
          </w:p>
        </w:tc>
        <w:tc>
          <w:tcPr>
            <w:tcW w:w="4675" w:type="dxa"/>
          </w:tcPr>
          <w:p w14:paraId="1F60BA62" w14:textId="15D777C4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15 septembre 2028 (4 ans à compter de la date de signature)</w:t>
            </w:r>
          </w:p>
        </w:tc>
      </w:tr>
      <w:tr w:rsidR="00B67523" w14:paraId="326DAD24" w14:textId="77777777" w:rsidTr="00FE1640">
        <w:tc>
          <w:tcPr>
            <w:tcW w:w="4675" w:type="dxa"/>
          </w:tcPr>
          <w:p w14:paraId="5931F854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Conditions de reconduction</w:t>
            </w:r>
          </w:p>
        </w:tc>
        <w:tc>
          <w:tcPr>
            <w:tcW w:w="4675" w:type="dxa"/>
          </w:tcPr>
          <w:p w14:paraId="6D10A3ED" w14:textId="3C08248A" w:rsidR="001F443C" w:rsidRPr="00C868AD" w:rsidRDefault="00BE3613" w:rsidP="00FE1640"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fr-FR"/>
              </w:rPr>
              <w:t>Le contrat sera automatiquement reconduit pour une nouvelle période d’un an, à moins que l’une ou l’autre des parties ne donne un préavis écrit de résiliation au moins 30 jours avant la date d’expiration. </w:t>
            </w:r>
          </w:p>
        </w:tc>
      </w:tr>
      <w:tr w:rsidR="00B67523" w14:paraId="7652A98F" w14:textId="77777777" w:rsidTr="00FE1640">
        <w:tc>
          <w:tcPr>
            <w:tcW w:w="4675" w:type="dxa"/>
          </w:tcPr>
          <w:p w14:paraId="3498033D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Montant minimum de commande</w:t>
            </w:r>
          </w:p>
        </w:tc>
        <w:tc>
          <w:tcPr>
            <w:tcW w:w="4675" w:type="dxa"/>
          </w:tcPr>
          <w:p w14:paraId="46C107BD" w14:textId="1A2DF3F6" w:rsidR="001F443C" w:rsidRPr="00C868AD" w:rsidRDefault="00BE361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fr-FR"/>
              </w:rPr>
              <w:t>100 caisses par mois</w:t>
            </w:r>
          </w:p>
        </w:tc>
      </w:tr>
      <w:tr w:rsidR="00B67523" w14:paraId="1E348B63" w14:textId="77777777" w:rsidTr="00FE1640">
        <w:tc>
          <w:tcPr>
            <w:tcW w:w="4675" w:type="dxa"/>
          </w:tcPr>
          <w:p w14:paraId="5C3FD33A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Montant maximal de commande</w:t>
            </w:r>
          </w:p>
        </w:tc>
        <w:tc>
          <w:tcPr>
            <w:tcW w:w="4675" w:type="dxa"/>
          </w:tcPr>
          <w:p w14:paraId="179730B7" w14:textId="5F71A88A" w:rsidR="001F443C" w:rsidRPr="00C868AD" w:rsidRDefault="00BE361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fr-FR"/>
              </w:rPr>
              <w:t>500 caisses par mois</w:t>
            </w:r>
          </w:p>
        </w:tc>
      </w:tr>
      <w:tr w:rsidR="00B67523" w:rsidRPr="00BE3613" w14:paraId="576B5704" w14:textId="77777777" w:rsidTr="00FE1640">
        <w:tc>
          <w:tcPr>
            <w:tcW w:w="4675" w:type="dxa"/>
          </w:tcPr>
          <w:p w14:paraId="60D42390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Conditions tarifaires</w:t>
            </w:r>
          </w:p>
        </w:tc>
        <w:tc>
          <w:tcPr>
            <w:tcW w:w="4675" w:type="dxa"/>
          </w:tcPr>
          <w:p w14:paraId="456539E8" w14:textId="20570437" w:rsidR="001F443C" w:rsidRPr="00BE3613" w:rsidRDefault="00BE361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fr-FR"/>
              </w:rPr>
              <w:t>Prix du marché à la date d’achat</w:t>
            </w:r>
          </w:p>
        </w:tc>
      </w:tr>
      <w:tr w:rsidR="00B67523" w14:paraId="06435DC1" w14:textId="77777777" w:rsidTr="00FE1640">
        <w:tc>
          <w:tcPr>
            <w:tcW w:w="4675" w:type="dxa"/>
          </w:tcPr>
          <w:p w14:paraId="4BF61735" w14:textId="77777777" w:rsidR="001F443C" w:rsidRPr="00C868AD" w:rsidRDefault="00BE3613" w:rsidP="00FE1640">
            <w:r>
              <w:rPr>
                <w:rFonts w:ascii="Aptos" w:eastAsia="Aptos" w:hAnsi="Aptos" w:cs="Arial"/>
                <w:lang w:val="fr-FR"/>
              </w:rPr>
              <w:t>Ajustements de prix</w:t>
            </w:r>
          </w:p>
        </w:tc>
        <w:tc>
          <w:tcPr>
            <w:tcW w:w="4675" w:type="dxa"/>
          </w:tcPr>
          <w:p w14:paraId="3AE53587" w14:textId="4E006A73" w:rsidR="001F443C" w:rsidRPr="00C868AD" w:rsidRDefault="00BE361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fr-FR"/>
              </w:rPr>
              <w:t>Des ajustements de prix sont autorisés en fonction des conditions du marché et des coûts de production.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3A308B"/>
    <w:rsid w:val="00491967"/>
    <w:rsid w:val="00520C73"/>
    <w:rsid w:val="00695203"/>
    <w:rsid w:val="00856417"/>
    <w:rsid w:val="008B5F7E"/>
    <w:rsid w:val="00A523B4"/>
    <w:rsid w:val="00AB794A"/>
    <w:rsid w:val="00B67523"/>
    <w:rsid w:val="00BE3613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24</cp:revision>
  <dcterms:created xsi:type="dcterms:W3CDTF">2024-01-10T21:26:00Z</dcterms:created>
  <dcterms:modified xsi:type="dcterms:W3CDTF">2025-05-16T08:16:00Z</dcterms:modified>
</cp:coreProperties>
</file>