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Contoso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fournisseur exclusif de boissons non alcoolisées et de jus pour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de l’accord avec le fournisseur négociées avec Contoso le 15 Septembre 2024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2/10 net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1,5 % par mois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2 % de réduction sous 10 jours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15 septembre 2028 (4 ans à compter de la date de signature)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d’un an, à moins que l’une ou l’autre des parties ne donne un préavis écrit de résiliation au moins 30 jours avant la date d’expiration.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500 caisses par mois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des conditions du marché et des coûts de production.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