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Propriétaire de la campagne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 Nom de campagne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Date de lancement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Type de campagne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Nombre total d’utilisateurs ciblés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engagés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RSI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Nombre de jours depuis le lancement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fin janvier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 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6 980 $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1 296,00 %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4 732 $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Grand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2 750 $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8 703 $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Conférence sectorielle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600*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12 423 $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Sud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9 293 $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Ouest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16 342 $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2 208 $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55 000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Type de campagne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Moyenne du retour sur investissement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général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ype de graphique : barre en cluster. 'ROI' par 'Type de campagne’Description&#10;&#10; générée automatiquement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 Nom de campagne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Somme des recettes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Ouest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16 342 $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13 435 $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12 423 $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Sud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9 293 $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fin janvier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6 980 $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Grand format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Conférence sectorielle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2 208 $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général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77 453 $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ype de graphique : barre en cluster. 'Revenue' by 'Campaign Name’Description&#10;&#10; automatiquement généré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ype de graphique : trait. 'Budget' par 'Date de lancement’Description&#10;&#10;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ype de graphique : barre en cluster. « Jours depuis le lancement » : 375 a nettement plus élevé « Utilisateurs engagés ».&#10;&#10;Description générée automatiquementType de graphique : anneau. Marketing numérique représente la majorité des « recettes ».Description générée automatiquementType de graphique : barre en cluster. 'Nombre total d’utilisateurs ciblés' par 'Type de campagne’Description&#10;&#10; généré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ype de graphique : barre empilée. &lt;Ciblé - Groupe 1&gt; et Panneaux d’affichage - Grand format&gt;ont un « budget » sensiblement plus élevé.Description générée automatiquementType de graphique : Histogramme. Fréquence de « Revenue »&#10;&#10; Description générée automatiquement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ype de graphique : barre empilée. &lt;Ciblé - Groupe 1&gt; et Panneaux d’affichage - Grand format&gt;ont un « budget » sensiblement plus élevé.Description générée automatiquementType de graphique : Histogramme. Fréquence de « Revenue »&#10;&#10; Description générée automatiquement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