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Propriétaire de la campagne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Date de lancement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Nombre total d’utilisateurs ciblés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engagés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RSI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Nombre de jours depuis le lancement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27 jan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6 980 $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1 296,00 %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29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4 732 $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2 750 $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8 703 $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25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12 423 $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9 293 $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500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16 342 $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5 278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55 000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Type de campagne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Moyenne du retour sur investissement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Marketing de marque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Expérience client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ype de graphique : barre en cluster. 'ROI' par 'Type de campagne’Description&#10;&#10; générée automatiquemen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 Nom de campagne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Somme des recettes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Ouest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16 342 $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Petit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13 435 $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12 423 $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février - Sud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9 293 $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E-mail de fin janvier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6 980 $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Panneaux d’affichage - Grand format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5 632 $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Conférence sectorielle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4 540 $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Revue de produits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2 208 $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Utilisateurs ciblés - Groupe 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général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 xml:space="preserve"> 77 453 $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ype de graphique : barre en cluster. 'Revenue' by 'Campaign Name’Description&#10;&#10; automatiquement généré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ype de graphique : trait. 'Budget' par 'Date de lancement’Description&#10;&#10; générée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ype de graphique : barre en cluster. « Jours depuis le lancement » : 375 a nettement plus élevé « Utilisateurs engagés ».&#10;&#10;Description générée automatiquementType de graphique : anneau. « Type de campagne » : Les comptes marketing numériques pour la majorité des « Revenus ».&#10;&#10;Description générée automatiquementType de graphique : barre en cluster. 'Nombre total d’utilisateurs ciblés' par 'Type de campagne’Description&#10;&#10; généré automatiquemen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ype de graphique : barre empilée. 'Nom de la campagne' : Ciblé - Groupe 1 et Panneaux d’affichage volumineux ont sensiblement plus élevé 'Budget'.&#10;&#10;Description générée automatiquementType de graphique : Histogramme. Fréquence de « Revenue »&#10;&#10; Description générée automatiquement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ype de graphique : barre empilée. 'Nom de la campagne' : Ciblé - Groupe 1 et Panneaux d’affichage volumineux ont sensiblement plus élevé 'Budget'.&#10;&#10;Description générée automatiquementType de graphique : Histogramme. Fréquence de « Revenue »&#10;&#10; Description générée automatiquement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