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seul fournisseur de produits laitiers et d’œufs de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Tailwind Traders le 25 juillet 2023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Net 60 jours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1 % par mois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5 % de réduction sous 15 jours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samedi 1° février 2025 (3 ans à compter de la date de signature)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de trois ans, à moins que l’une ou l’autre des parties ne donne un préavis écrit de résiliation au moins 90 jours avant la date d’expiration.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20 caisses par mois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 la qualité et de la disponibilité des produits.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