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6.0 -->
  <w:body>
    <w:p w:rsidR="00C262E5" w14:paraId="0085ADB5" w14:textId="77777777">
      <w:pPr>
        <w:bidi w:val="0"/>
        <w:jc w:val="cente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36"/>
          <w:szCs w:val="36"/>
          <w:highlight w:val="none"/>
          <w:u w:val="none" w:color="auto"/>
          <w:bdr w:val="none" w:sz="0" w:space="0" w:color="auto"/>
          <w:shd w:val="clear" w:color="auto" w:fill="auto"/>
          <w:vertAlign w:val="baseline"/>
          <w:rtl w:val="0"/>
          <w:cs w:val="0"/>
          <w:lang w:val="en-US" w:eastAsia="ja-JP" w:bidi="ar-SA"/>
        </w:rPr>
        <w:t>Adatum Corporation</w:t>
      </w:r>
    </w:p>
    <w:p w:rsidR="00C262E5" w14:paraId="2365984D" w14:textId="77777777">
      <w:pPr>
        <w:bidi w:val="0"/>
        <w:jc w:val="cente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48"/>
          <w:szCs w:val="48"/>
          <w:highlight w:val="none"/>
          <w:u w:val="none" w:color="auto"/>
          <w:bdr w:val="none" w:sz="0" w:space="0" w:color="auto"/>
          <w:shd w:val="clear" w:color="auto" w:fill="auto"/>
          <w:vertAlign w:val="baseline"/>
          <w:rtl w:val="0"/>
          <w:cs w:val="0"/>
          <w:lang w:val="en-US" w:eastAsia="ja-JP" w:bidi="ar-SA"/>
        </w:rPr>
        <w:t>転居ポリシー</w:t>
      </w:r>
    </w:p>
    <w:p w:rsidR="00C262E5" w14:paraId="0B908783" w14:textId="77777777">
      <w:pPr>
        <w:bidi w:val="0"/>
        <w:jc w:val="cente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対象者、対象となる経費、払い戻し手続き</w:t>
      </w:r>
    </w:p>
    <w:p w:rsidR="00C262E5" w14:paraId="42AB5AC9" w14:textId="77777777">
      <w:pPr>
        <w:bidi w:val="0"/>
        <w:jc w:val="center"/>
      </w:pPr>
      <w:r>
        <w:rPr>
          <w:rStyle w:val="DefaultParagraphFont"/>
          <w:rFonts w:ascii="MS UI Gothic" w:eastAsia="MS UI Gothic" w:hAnsi="MS UI Gothic" w:cs="MS UI Gothic"/>
          <w:b w:val="0"/>
          <w:bCs w:val="0"/>
          <w:i/>
          <w:iCs/>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発効日: 2025 年 10 月 31 日 | v1.0</w:t>
      </w:r>
    </w:p>
    <w:p w:rsidR="00C262E5" w14:paraId="579A5DE4"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目的と範囲</w:t>
      </w:r>
    </w:p>
    <w:p w:rsidR="00C262E5" w14:paraId="5810DDB3"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このポリシーは、承認された業務上のニーズ (役割の変更、拠点の戦略など) のために転居する従業員をサポートします。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オファーは、レベルと距離に基づいて階層化されています。</w:t>
      </w:r>
    </w:p>
    <w:p w:rsidR="00C262E5" w14:paraId="1A160F1F"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利用資格</w:t>
      </w:r>
    </w:p>
    <w:p w:rsidR="00C262E5" w14:paraId="5B4ECBBC"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マネージャーと HR の承認を得た正社員。</w:t>
      </w:r>
    </w:p>
    <w:p w:rsidR="00C262E5" w14:paraId="78EAE354"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転居距離: 通常、現在の主要な居住地から新しい勤務地まで 50 マイル以上。</w:t>
      </w:r>
    </w:p>
    <w:p w:rsidR="00C262E5" w14:paraId="66200D44"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HR が延長しない限り、オファーの受け入れから 12 か月以内に転居する必要がある。</w:t>
      </w:r>
    </w:p>
    <w:p w:rsidR="00C262E5" w14:paraId="76A9DE5D"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転居パッケージ</w:t>
      </w:r>
    </w:p>
    <w:tbl>
      <w:tblPr>
        <w:tblW w:w="0" w:type="auto"/>
        <w:tblInd w:w="0" w:type="dxa"/>
        <w:tblCellMar>
          <w:top w:w="0" w:type="dxa"/>
          <w:left w:w="108" w:type="dxa"/>
          <w:bottom w:w="0" w:type="dxa"/>
          <w:right w:w="108" w:type="dxa"/>
        </w:tblCellMar>
        <w:tblLook w:val="04A0"/>
      </w:tblPr>
      <w:tblGrid>
        <w:gridCol w:w="1608"/>
        <w:gridCol w:w="2242"/>
        <w:gridCol w:w="1686"/>
        <w:gridCol w:w="1647"/>
        <w:gridCol w:w="1673"/>
      </w:tblGrid>
      <w:tr w14:paraId="2ED01852" w14:textId="77777777">
        <w:tblPrEx>
          <w:tblW w:w="0" w:type="auto"/>
          <w:tblInd w:w="0" w:type="dxa"/>
          <w:tblCellMar>
            <w:top w:w="0" w:type="dxa"/>
            <w:left w:w="108" w:type="dxa"/>
            <w:bottom w:w="0" w:type="dxa"/>
            <w:right w:w="108" w:type="dxa"/>
          </w:tblCellMar>
          <w:tblLook w:val="04A0"/>
        </w:tblPrEx>
        <w:tc>
          <w:tcPr>
            <w:tcW w:w="1728" w:type="dxa"/>
          </w:tcPr>
          <w:p w:rsidR="00C262E5" w14:paraId="6DC48EDE"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レベル</w:t>
            </w:r>
          </w:p>
        </w:tc>
        <w:tc>
          <w:tcPr>
            <w:tcW w:w="1728" w:type="dxa"/>
          </w:tcPr>
          <w:p w:rsidR="00C262E5" w14:paraId="28A9C8DF"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対象者</w:t>
            </w:r>
          </w:p>
        </w:tc>
        <w:tc>
          <w:tcPr>
            <w:tcW w:w="1728" w:type="dxa"/>
          </w:tcPr>
          <w:p w:rsidR="00C262E5" w14:paraId="148BCDFC"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家探しのための下見費用</w:t>
            </w:r>
          </w:p>
        </w:tc>
        <w:tc>
          <w:tcPr>
            <w:tcW w:w="1728" w:type="dxa"/>
          </w:tcPr>
          <w:p w:rsidR="00C262E5" w14:paraId="5269EE26"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引っ越し、保管</w:t>
            </w:r>
          </w:p>
        </w:tc>
        <w:tc>
          <w:tcPr>
            <w:tcW w:w="1728" w:type="dxa"/>
          </w:tcPr>
          <w:p w:rsidR="00C262E5" w14:paraId="44E20B16"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仮住まい</w:t>
            </w:r>
          </w:p>
        </w:tc>
      </w:tr>
      <w:tr w14:paraId="13492C27" w14:textId="77777777">
        <w:tblPrEx>
          <w:tblW w:w="0" w:type="auto"/>
          <w:tblInd w:w="0" w:type="dxa"/>
          <w:tblCellMar>
            <w:top w:w="0" w:type="dxa"/>
            <w:left w:w="108" w:type="dxa"/>
            <w:bottom w:w="0" w:type="dxa"/>
            <w:right w:w="108" w:type="dxa"/>
          </w:tblCellMar>
          <w:tblLook w:val="04A0"/>
        </w:tblPrEx>
        <w:tc>
          <w:tcPr>
            <w:tcW w:w="1728" w:type="dxa"/>
          </w:tcPr>
          <w:p w:rsidR="00C262E5" w14:paraId="0041C6A7"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レベル 1</w:t>
            </w:r>
          </w:p>
        </w:tc>
        <w:tc>
          <w:tcPr>
            <w:tcW w:w="1728" w:type="dxa"/>
          </w:tcPr>
          <w:p w:rsidR="00C262E5" w14:paraId="766EA55E"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アソシエイト/プロフェッショナル</w:t>
            </w:r>
          </w:p>
        </w:tc>
        <w:tc>
          <w:tcPr>
            <w:tcW w:w="1728" w:type="dxa"/>
          </w:tcPr>
          <w:p w:rsidR="00C262E5" w14:paraId="0DCB09E7"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下見 1 回、従業員 +1 名</w:t>
            </w:r>
          </w:p>
        </w:tc>
        <w:tc>
          <w:tcPr>
            <w:tcW w:w="1728" w:type="dxa"/>
          </w:tcPr>
          <w:p w:rsidR="00C262E5" w14:paraId="4147A36E"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上限 6,000 ドル</w:t>
            </w:r>
          </w:p>
        </w:tc>
        <w:tc>
          <w:tcPr>
            <w:tcW w:w="1728" w:type="dxa"/>
          </w:tcPr>
          <w:p w:rsidR="00C262E5" w14:paraId="74559BDC"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30 日間まで</w:t>
            </w:r>
          </w:p>
        </w:tc>
      </w:tr>
      <w:tr w14:paraId="4535A627" w14:textId="77777777">
        <w:tblPrEx>
          <w:tblW w:w="0" w:type="auto"/>
          <w:tblInd w:w="0" w:type="dxa"/>
          <w:tblCellMar>
            <w:top w:w="0" w:type="dxa"/>
            <w:left w:w="108" w:type="dxa"/>
            <w:bottom w:w="0" w:type="dxa"/>
            <w:right w:w="108" w:type="dxa"/>
          </w:tblCellMar>
          <w:tblLook w:val="04A0"/>
        </w:tblPrEx>
        <w:tc>
          <w:tcPr>
            <w:tcW w:w="1728" w:type="dxa"/>
          </w:tcPr>
          <w:p w:rsidR="00C262E5" w14:paraId="792F96ED"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レベル 2</w:t>
            </w:r>
          </w:p>
        </w:tc>
        <w:tc>
          <w:tcPr>
            <w:tcW w:w="1728" w:type="dxa"/>
          </w:tcPr>
          <w:p w:rsidR="00C262E5" w14:paraId="31BDFC3B"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シニア/マネージャー</w:t>
            </w:r>
          </w:p>
        </w:tc>
        <w:tc>
          <w:tcPr>
            <w:tcW w:w="1728" w:type="dxa"/>
          </w:tcPr>
          <w:p w:rsidR="00C262E5" w14:paraId="60824045"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下見 2 回、家族</w:t>
            </w:r>
          </w:p>
        </w:tc>
        <w:tc>
          <w:tcPr>
            <w:tcW w:w="1728" w:type="dxa"/>
          </w:tcPr>
          <w:p w:rsidR="00C262E5" w14:paraId="7FE872ED"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上限 10,000 ドル</w:t>
            </w:r>
          </w:p>
        </w:tc>
        <w:tc>
          <w:tcPr>
            <w:tcW w:w="1728" w:type="dxa"/>
          </w:tcPr>
          <w:p w:rsidR="00C262E5" w14:paraId="138DE277"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60 日間まで</w:t>
            </w:r>
          </w:p>
        </w:tc>
      </w:tr>
      <w:tr w14:paraId="64068306" w14:textId="77777777">
        <w:tblPrEx>
          <w:tblW w:w="0" w:type="auto"/>
          <w:tblInd w:w="0" w:type="dxa"/>
          <w:tblCellMar>
            <w:top w:w="0" w:type="dxa"/>
            <w:left w:w="108" w:type="dxa"/>
            <w:bottom w:w="0" w:type="dxa"/>
            <w:right w:w="108" w:type="dxa"/>
          </w:tblCellMar>
          <w:tblLook w:val="04A0"/>
        </w:tblPrEx>
        <w:tc>
          <w:tcPr>
            <w:tcW w:w="1728" w:type="dxa"/>
          </w:tcPr>
          <w:p w:rsidR="00C262E5" w14:paraId="3634057A"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レベル 3</w:t>
            </w:r>
          </w:p>
        </w:tc>
        <w:tc>
          <w:tcPr>
            <w:tcW w:w="1728" w:type="dxa"/>
          </w:tcPr>
          <w:p w:rsidR="00C262E5" w14:paraId="04C2F4F6"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プリンシパル/ディレクター以上</w:t>
            </w:r>
          </w:p>
        </w:tc>
        <w:tc>
          <w:tcPr>
            <w:tcW w:w="1728" w:type="dxa"/>
          </w:tcPr>
          <w:p w:rsidR="00C262E5" w14:paraId="463C3A76"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下見 2 回、家族 (プレミアム)</w:t>
            </w:r>
          </w:p>
        </w:tc>
        <w:tc>
          <w:tcPr>
            <w:tcW w:w="1728" w:type="dxa"/>
          </w:tcPr>
          <w:p w:rsidR="00C262E5" w14:paraId="0F9BAA72"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上限 20,000 ドル</w:t>
            </w:r>
          </w:p>
        </w:tc>
        <w:tc>
          <w:tcPr>
            <w:tcW w:w="1728" w:type="dxa"/>
          </w:tcPr>
          <w:p w:rsidR="00C262E5" w14:paraId="61E68844"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最大 90 日</w:t>
            </w:r>
          </w:p>
        </w:tc>
      </w:tr>
    </w:tbl>
    <w:p w:rsidR="00C262E5" w14:paraId="68DD73B7"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対象となる経費</w:t>
      </w:r>
    </w:p>
    <w:p w:rsidR="00C262E5" w14:paraId="12AD1AF6"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家探しのための下見 (航空運賃/走行距離、宿泊、ポリシーに基づく 1 日当たりの額)。</w:t>
      </w:r>
    </w:p>
    <w:p w:rsidR="00C262E5" w14:paraId="15EFFCED"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家庭用品の梱包、出荷、標準的な保険費用。</w:t>
      </w:r>
    </w:p>
    <w:p w:rsidR="00C262E5" w14:paraId="32C6D45C"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指定期間の仮住まいと現地での交通費。</w:t>
      </w:r>
    </w:p>
    <w:p w:rsidR="00C262E5" w14:paraId="10CD931C"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賃貸解約料金 (上限 2,000 ドル) または住宅売買の決済費用 (レベルごとに上限あり)。</w:t>
      </w:r>
    </w:p>
    <w:p w:rsidR="00C262E5" w14:paraId="399149CD"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従業員と扶養家族の最終的な転居費用。</w:t>
      </w:r>
    </w:p>
    <w:p w:rsidR="00C262E5" w14:paraId="15C912E5"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学校探しおよび配偶者/パートナーの就職支援 (レベル 2 以上)。</w:t>
      </w:r>
    </w:p>
    <w:p w:rsidR="00C262E5" w14:paraId="5DE6915D"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カバーされない経費</w:t>
      </w:r>
    </w:p>
    <w:p w:rsidR="00C262E5" w14:paraId="71638322"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高級サービス (美術品の梱包など)、住宅修繕、ペット検疫料金。</w:t>
      </w:r>
    </w:p>
    <w:p w:rsidR="00C262E5" w14:paraId="11AAB434"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住宅販売時の損失、標準上限額を超える住宅ローン ポイント。</w:t>
      </w:r>
    </w:p>
    <w:p w:rsidR="00C262E5" w14:paraId="5CCFE450"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事前承認がない限り、仮住まいの期間を超えた保管は不可。</w:t>
      </w:r>
    </w:p>
    <w:p w:rsidR="00C262E5" w14:paraId="2E76BE76"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払い戻しと税金</w:t>
      </w:r>
    </w:p>
    <w:p w:rsidR="00C262E5" w14:paraId="1C756FD7"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Concur (または後継サービス) を使用して、60 日以内に経費を提出してください。</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25 ドルを超える項目には領収書が必要です。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税務処理は、適用される法令に従います。Adatum は、特定の課税対象の転居特典に税金相当額を上乗せして支払う場合があります。</w:t>
      </w:r>
    </w:p>
    <w:p w:rsidR="00C262E5" w14:paraId="60503CB5"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返済契約</w:t>
      </w:r>
    </w:p>
    <w:p w:rsidR="00C262E5" w14:paraId="0135CF0A"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従業員が自発的に退職、または転居後 12 か月以内に正当な理由により解雇された場合は、転居特典の日割り計算による返済 (最大 100%) が発生します。</w:t>
      </w:r>
    </w:p>
    <w:p w:rsidR="00C262E5" w14:paraId="08545999"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移住および国境を超える転居</w:t>
      </w:r>
    </w:p>
    <w:p w:rsidR="00C262E5" w14:paraId="26FE0772"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海外への転居には、移住、税金、給与コンプライアンスに関する Global Mobility との協議が必要であり、追加の準備期間が必要です。</w:t>
      </w:r>
    </w:p>
    <w:p w:rsidR="00C262E5" w14:paraId="7A705C9E"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よく寄せられる質問</w:t>
      </w:r>
    </w:p>
    <w:p w:rsidR="00C262E5" w14:paraId="439E046F"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Q:利用する引っ越し業者を選べますか?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A: はい。承認済みの業者一覧から選べます。</w:t>
      </w:r>
    </w:p>
    <w:p w:rsidR="00C262E5" w14:paraId="201CEF44"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Q:自宅の売却が成立しない場合はどうすればよいですか?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A: HR にお問い合わせください。正当な理由があれば延長期間が認められる場合があります。</w:t>
      </w:r>
    </w:p>
    <w:p w:rsidR="00C262E5" w14:paraId="1113CE7C"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Q:仮住まいを利用中の週末の旅行は対象ですか?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A: 合理的な現地の移動は対象ですが、レジャー目的の旅行は対象外です。</w:t>
      </w:r>
    </w:p>
    <w:sectPr w:rsidSect="00034616">
      <w:footerReference w:type="default" r:id="rId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C262E5" w14:paraId="6729AACF" w14:textId="77777777">
    <w:pPr>
      <w:pStyle w:val="Footer"/>
      <w:bidi w:val="0"/>
      <w:jc w:val="cente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法的助言ではなくトレーニングのみを目的とした架空のポリシー。</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Adatum Corporation</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987129">
    <w:abstractNumId w:val="8"/>
  </w:num>
  <w:num w:numId="2" w16cid:durableId="1092973765">
    <w:abstractNumId w:val="6"/>
  </w:num>
  <w:num w:numId="3" w16cid:durableId="1134756314">
    <w:abstractNumId w:val="5"/>
  </w:num>
  <w:num w:numId="4" w16cid:durableId="247660995">
    <w:abstractNumId w:val="4"/>
  </w:num>
  <w:num w:numId="5" w16cid:durableId="1563638865">
    <w:abstractNumId w:val="7"/>
  </w:num>
  <w:num w:numId="6" w16cid:durableId="656811712">
    <w:abstractNumId w:val="3"/>
  </w:num>
  <w:num w:numId="7" w16cid:durableId="448092135">
    <w:abstractNumId w:val="2"/>
  </w:num>
  <w:num w:numId="8" w16cid:durableId="172457228">
    <w:abstractNumId w:val="1"/>
  </w:num>
  <w:num w:numId="9" w16cid:durableId="1368291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59370C"/>
    <w:rsid w:val="005E4E2B"/>
    <w:rsid w:val="007F36D7"/>
    <w:rsid w:val="00974B6C"/>
    <w:rsid w:val="00AA1D8D"/>
    <w:rsid w:val="00B47730"/>
    <w:rsid w:val="00C262E5"/>
    <w:rsid w:val="00CB0664"/>
    <w:rsid w:val="00DD4905"/>
    <w:rsid w:val="00FC693F"/>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14:docId w14:val="24062061"/>
  <w15:docId w15:val="{2DDC31A9-0F58-4804-B99D-AD4C82E6D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308</Words>
  <Characters>2012</Characters>
  <Application>Microsoft Office Word</Application>
  <DocSecurity>0</DocSecurity>
  <Lines>62</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revision>2</cp:revision>
  <dcterms:created xsi:type="dcterms:W3CDTF">2013-12-23T23:15:00Z</dcterms:created>
  <dcterms:modified xsi:type="dcterms:W3CDTF">2025-10-31T21:29:00Z</dcterms:modified>
</cp:coreProperties>
</file>