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キャンペーンの所有者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 キャンペーンの名前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開始日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キャンペーンの種類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予算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対象ユーザーの合計数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エンゲージメントの高いユーザー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開始後の日数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月後半のメール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$ 6,980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4,205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465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小さな看板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ブランドマーケティング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$250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$ 4,732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大きな看板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ブランドマーケティング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製品のレビュー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16-Jan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$ 2,750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$ 5,676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5,418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 - グループ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$ 136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小さな看板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ブランドマーケティング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$ 8,703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業界会議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$ 4,540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 - グループ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$ 788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367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$ 12,423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4,205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$ 9,293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3,687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$ 16,342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5,278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1,029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製品の参照投稿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$ 635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$ 2,208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55,000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1,470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キャンペーンの種類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ROI の平均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ブランドマーケティング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総計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グラフの種類: 集合横棒グラフ。「キャンペーンの種類」による「ROI」&#10;&#10;自動生成される説明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 キャンペーンの名前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収益の合計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$ 16,342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小さな看板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$ 13,435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$ 12,423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$ 9,293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月後半のメール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$ 6,980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製品のレビュー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$ 5,676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大きな看板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業界会議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$ 4,540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製品の参照投稿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$ 2,208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 - グループ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$ 788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 - グループ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$ 136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グラフの種類: 集合横棒グラフ。「キャンペーン名」による「収益」 &#10;&#10;自動生成された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グラフの種類: 線。「開始日」による「予算」&#10;&#10;自動生成された説明'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グラフの種類: 集合横棒グラフ。「開始後の日数」: 375 で、「エンゲージメントの高いユーザー」が著しく増加。&#10;&#10;自動生成された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グラフの種類: ドーナツ。「キャンペーンの種類」: デジタル マーケティング アカウントが「収益」の大部分を占めている。&#10;&#10;自動生成された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グラフの種類: 集合横棒グラフ。「キャンペーンの種類」による「対象ユーザーの合計数」&#10;&#10;自動的に生成された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グラフの種類: 積み上げ横棒グラフ。「キャンペーン名」: ターゲット - グループ 1 と大きな看板で「予算」が大幅に高くなっている。&#10;&#10;自動生成された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グラフの種類: ヒストグラム。「収益」の頻度&#10;&#10;自動生成された説明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グラフの種類: ヒストグラム。「収益」の頻度&#10;&#10;自動生成された説明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