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6.0 -->
  <w:body>
    <w:p w:rsidR="0013696B" w14:paraId="4460DE16" w14:textId="77777777">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36"/>
          <w:szCs w:val="36"/>
          <w:highlight w:val="none"/>
          <w:u w:val="none" w:color="auto"/>
          <w:bdr w:val="none" w:sz="0" w:space="0" w:color="auto"/>
          <w:shd w:val="clear" w:color="auto" w:fill="auto"/>
          <w:vertAlign w:val="baseline"/>
          <w:rtl w:val="0"/>
          <w:cs w:val="0"/>
          <w:lang w:val="en-US" w:eastAsia="ja-JP" w:bidi="ar-SA"/>
        </w:rPr>
        <w:t>Relecloud – 業務の概要と買収の分析</w:t>
      </w:r>
    </w:p>
    <w:p w:rsidR="0013696B" w14:paraId="5334CC6E"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Fabrikam エグゼクティブ レビューの準備</w:t>
      </w:r>
    </w:p>
    <w:p w:rsidR="0013696B" w14:paraId="2B937B05" w14:textId="77777777">
      <w:pPr>
        <w:pStyle w:val="Heading1"/>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 xml:space="preserve">1.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会社の概要</w:t>
      </w:r>
    </w:p>
    <w:p w:rsidR="0013696B" w14:paraId="53E3273D" w14:textId="77777777">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基本情報。</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Relecloud, Ltd. は、2016 年に設立されたアイルランドのダブリンに本社を置くクラウドファーストのソフトウェア会社です。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リーダーシップ チームは、Mira O'Donnell (CEO)、Liam Byrne (CFO)、Priya Natarajan (CTO)、Javier Ruiz (COO) から構成されています。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Relecloud は、ベンチャーと従業員の所有権が混在している非公開企業です。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同社は 7 つのオフィス (ダブリン、ロンドン、ベルリン、トロント、オースティン、シンガポール、シドニー) を所有しており、従業員は約 1,150 人です。</w:t>
      </w:r>
    </w:p>
    <w:p w:rsidR="0013696B" w14:paraId="4C652062" w14:textId="77777777">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ビジネス モデル。</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収益は主に、サブスクリプション ソフトウェア (SaaS 約 72%)、クラウド インフラストラクチャ サービス (約 18%)、コンサルティング/マネージド サービス (約 10%) を通じて生み出されます。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価格は階層化されており (Essential、Growth、Enterprise)、シートごとおよび使用量ベースのコンポーネントで構成されています。</w:t>
      </w:r>
    </w:p>
    <w:p w:rsidR="0013696B" w14:paraId="5E98258B" w14:textId="77777777">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ビジョン、ミッション、戦略。</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ビジョン: デジタル ビジネスにより、安全かつスケーラブルで、データドリブンなエクスペリエンスを提供できるように支援します。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ミッション: 中規模および大規模組織のお客様向けのマルチクラウド運用を簡素化します。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戦略: AI 駆動型の監視、セキュリティの自動化、業界固有のソリューション パックを使用してプラットフォーム機能を拡張し、ヨーロッパ、中近東およびアフリカと北米のエンタープライズ アカウントと選択的チャネル パートナーシップを通じて成長します。</w:t>
      </w:r>
    </w:p>
    <w:p w:rsidR="0013696B" w14:paraId="0DE52C73" w14:textId="77777777">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製品およびサービス。</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コア製品には、Relecloud Control (マルチクラウド オーケストレーション)、Relecloud Secure (クラウド セキュリティ態勢管理)、Relecloud Insight (監視と分析)、Relecloud Edge (デバイスとエッジのワークロード管理) が含まれます。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サービスには、実装コンサルティング、マネージド運用、プレミアム サポート SLA などがあります。</w:t>
      </w:r>
    </w:p>
    <w:p w:rsidR="0013696B" w14:paraId="2BE70149" w14:textId="77777777">
      <w:pPr>
        <w:pStyle w:val="Heading1"/>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 xml:space="preserve">2.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市場ポジションと業界の分析</w:t>
      </w:r>
    </w:p>
    <w:p w:rsidR="0013696B" w14:paraId="58290843"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ターゲット市場:中堅企業 (従業員数 500 から 5,000 人)、フィンテック、小売、医療、SaaS プロバイダーなどの規制対象の中小規模企業。</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市場シェアとポジション:ヨーロッパ、中近東およびアフリカの中規模のクラウド管理では、Relecloud は推定 3.4% のシェアを保持し、確立されたプラットフォームやニッチなツールと競合しています。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差別化の中心にあるのは、迅速なデプロイ、セキュリティの自動化、総保有コスト (TCO) といった利点です。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業界の動向:継続的なクラウド移行、AI 支援型運用 (AIOps)、ゼロトラスト セキュリティ、データ主権ルール。</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営業案件には、AI 駆動型の修復とセクター パックが含まれます。脅威には、ハイパースケーラー ネイティブ ツール、価格圧縮、進化するデータ規制が含まれます。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競合企業:メジャー — Datadog、Wiz、HashiCorp (Terraform Cloud)、ServiceNow (Cloud Ops)。</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ニッチ — Lacework、Snyk Cloud、ヨーロッパに重点を置く複数のセキュリティ スタートアップ企業。</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Relecloud は、統合されたオーケストレーションとセキュリティ、強力な中規模市場の経済、ターンキー コンプライアンス テンプレートを使用して差別化します。</w:t>
      </w:r>
    </w:p>
    <w:p w:rsidR="0013696B" w14:paraId="392EDBC4" w14:textId="77777777">
      <w:pPr>
        <w:pStyle w:val="Heading1"/>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 xml:space="preserve">3.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財務パフォーマンス</w:t>
      </w:r>
    </w:p>
    <w:tbl>
      <w:tblPr>
        <w:tblStyle w:val="LightListAccent1"/>
        <w:tblStyleRowBandSize w:val="1"/>
        <w:tblStyleColBandSize w:val="1"/>
        <w:tblW w:w="0" w:type="auto"/>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Look w:val="04A0"/>
      </w:tblPr>
      <w:tblGrid>
        <w:gridCol w:w="1440"/>
        <w:gridCol w:w="1440"/>
        <w:gridCol w:w="1440"/>
        <w:gridCol w:w="1440"/>
        <w:gridCol w:w="1440"/>
        <w:gridCol w:w="1440"/>
      </w:tblGrid>
      <w:tr w14:paraId="6D8B5F00" w14:textId="77777777" w:rsidTr="0013696B">
        <w:tblPrEx>
          <w:tblW w:w="0" w:type="auto"/>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Look w:val="04A0"/>
        </w:tblPrEx>
        <w:tc>
          <w:tcPr>
            <w:tcW w:w="1440" w:type="dxa"/>
            <w:shd w:val="clear" w:color="auto" w:fill="4F81BD" w:themeFill="accent1"/>
          </w:tcPr>
          <w:p w:rsidR="0013696B" w14:paraId="55B1B77B" w14:textId="77777777">
            <w:pPr>
              <w:bidi w:val="0"/>
              <w:spacing w:before="0" w:after="0" w:line="240" w:lineRule="auto"/>
              <w:rPr>
                <w:rFonts w:ascii="Calibri" w:eastAsia="Calibri" w:hAnsi="Calibri" w:cstheme="minorBidi"/>
                <w:b/>
                <w:bCs/>
                <w:color w:val="FFFFFF" w:themeColor="background1"/>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FFFFFF"/>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Year</w:t>
            </w:r>
          </w:p>
        </w:tc>
        <w:tc>
          <w:tcPr>
            <w:tcW w:w="1440" w:type="dxa"/>
            <w:shd w:val="clear" w:color="auto" w:fill="4F81BD" w:themeFill="accent1"/>
          </w:tcPr>
          <w:p w:rsidR="0013696B" w14:paraId="1DD8DC40" w14:textId="77777777">
            <w:pPr>
              <w:bidi w:val="0"/>
              <w:spacing w:before="0" w:after="0" w:line="240" w:lineRule="auto"/>
              <w:rPr>
                <w:rFonts w:ascii="Calibri" w:eastAsia="Calibri" w:hAnsi="Calibri" w:cstheme="minorBidi"/>
                <w:b/>
                <w:bCs/>
                <w:color w:val="FFFFFF" w:themeColor="background1"/>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FFFFFF"/>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収益 (USD、百万)</w:t>
            </w:r>
          </w:p>
        </w:tc>
        <w:tc>
          <w:tcPr>
            <w:tcW w:w="1440" w:type="dxa"/>
            <w:shd w:val="clear" w:color="auto" w:fill="4F81BD" w:themeFill="accent1"/>
          </w:tcPr>
          <w:p w:rsidR="0013696B" w14:paraId="238652AD" w14:textId="77777777">
            <w:pPr>
              <w:bidi w:val="0"/>
              <w:spacing w:before="0" w:after="0" w:line="240" w:lineRule="auto"/>
              <w:rPr>
                <w:rFonts w:ascii="Calibri" w:eastAsia="Calibri" w:hAnsi="Calibri" w:cstheme="minorBidi"/>
                <w:b/>
                <w:bCs/>
                <w:color w:val="FFFFFF" w:themeColor="background1"/>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FFFFFF"/>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売却済商品の原価 (USD、百万)</w:t>
            </w:r>
          </w:p>
        </w:tc>
        <w:tc>
          <w:tcPr>
            <w:tcW w:w="1440" w:type="dxa"/>
            <w:shd w:val="clear" w:color="auto" w:fill="4F81BD" w:themeFill="accent1"/>
          </w:tcPr>
          <w:p w:rsidR="0013696B" w14:paraId="731E7F00" w14:textId="77777777">
            <w:pPr>
              <w:bidi w:val="0"/>
              <w:spacing w:before="0" w:after="0" w:line="240" w:lineRule="auto"/>
              <w:rPr>
                <w:rFonts w:ascii="Calibri" w:eastAsia="Calibri" w:hAnsi="Calibri" w:cstheme="minorBidi"/>
                <w:b/>
                <w:bCs/>
                <w:color w:val="FFFFFF" w:themeColor="background1"/>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FFFFFF"/>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運営費 (USD、百万)</w:t>
            </w:r>
          </w:p>
        </w:tc>
        <w:tc>
          <w:tcPr>
            <w:tcW w:w="1440" w:type="dxa"/>
            <w:shd w:val="clear" w:color="auto" w:fill="4F81BD" w:themeFill="accent1"/>
          </w:tcPr>
          <w:p w:rsidR="0013696B" w14:paraId="73FB2021" w14:textId="77777777">
            <w:pPr>
              <w:bidi w:val="0"/>
              <w:spacing w:before="0" w:after="0" w:line="240" w:lineRule="auto"/>
              <w:rPr>
                <w:rFonts w:ascii="Calibri" w:eastAsia="Calibri" w:hAnsi="Calibri" w:cstheme="minorBidi"/>
                <w:b/>
                <w:bCs/>
                <w:color w:val="FFFFFF" w:themeColor="background1"/>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FFFFFF"/>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EBITDA (USD、百万)</w:t>
            </w:r>
          </w:p>
        </w:tc>
        <w:tc>
          <w:tcPr>
            <w:tcW w:w="1440" w:type="dxa"/>
            <w:shd w:val="clear" w:color="auto" w:fill="4F81BD" w:themeFill="accent1"/>
          </w:tcPr>
          <w:p w:rsidR="0013696B" w14:paraId="040C7905" w14:textId="77777777">
            <w:pPr>
              <w:bidi w:val="0"/>
              <w:spacing w:before="0" w:after="0" w:line="240" w:lineRule="auto"/>
              <w:rPr>
                <w:rFonts w:ascii="Calibri" w:eastAsia="Calibri" w:hAnsi="Calibri" w:cstheme="minorBidi"/>
                <w:b/>
                <w:bCs/>
                <w:color w:val="FFFFFF" w:themeColor="background1"/>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FFFFFF"/>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純利益 (USD、百万)</w:t>
            </w:r>
          </w:p>
        </w:tc>
      </w:tr>
      <w:tr w14:paraId="3943A3E8" w14:textId="77777777" w:rsidTr="0013696B">
        <w:tblPrEx>
          <w:tblW w:w="0" w:type="auto"/>
          <w:tblInd w:w="0" w:type="dxa"/>
          <w:tblCellMar>
            <w:top w:w="0" w:type="dxa"/>
            <w:left w:w="108" w:type="dxa"/>
            <w:bottom w:w="0" w:type="dxa"/>
            <w:right w:w="108" w:type="dxa"/>
          </w:tblCellMar>
          <w:tblLook w:val="04A0"/>
        </w:tblPrEx>
        <w:tc>
          <w:tcPr>
            <w:tcW w:w="1440" w:type="dxa"/>
            <w:tcBorders>
              <w:top w:val="single" w:sz="8" w:space="0" w:color="4F81BD" w:themeColor="accent1"/>
              <w:left w:val="single" w:sz="8" w:space="0" w:color="4F81BD" w:themeColor="accent1"/>
              <w:bottom w:val="single" w:sz="8" w:space="0" w:color="4F81BD" w:themeColor="accent1"/>
            </w:tcBorders>
          </w:tcPr>
          <w:p w:rsidR="0013696B" w14:paraId="16C866F5" w14:textId="77777777">
            <w:pPr>
              <w:bidi w:val="0"/>
              <w:spacing w:after="0" w:line="240" w:lineRule="auto"/>
              <w:rPr>
                <w:rFonts w:ascii="Calibri" w:eastAsia="Calibri" w:hAnsi="Calibri" w:cstheme="minorBidi"/>
                <w:b/>
                <w:bCs/>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2021.0</w:t>
            </w:r>
          </w:p>
        </w:tc>
        <w:tc>
          <w:tcPr>
            <w:tcW w:w="1440" w:type="dxa"/>
            <w:tcBorders>
              <w:top w:val="single" w:sz="8" w:space="0" w:color="4F81BD" w:themeColor="accent1"/>
              <w:bottom w:val="single" w:sz="8" w:space="0" w:color="4F81BD" w:themeColor="accent1"/>
            </w:tcBorders>
          </w:tcPr>
          <w:p w:rsidR="0013696B" w14:paraId="21228478"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118.4</w:t>
            </w:r>
          </w:p>
        </w:tc>
        <w:tc>
          <w:tcPr>
            <w:tcW w:w="1440" w:type="dxa"/>
            <w:tcBorders>
              <w:top w:val="single" w:sz="8" w:space="0" w:color="4F81BD" w:themeColor="accent1"/>
              <w:bottom w:val="single" w:sz="8" w:space="0" w:color="4F81BD" w:themeColor="accent1"/>
            </w:tcBorders>
          </w:tcPr>
          <w:p w:rsidR="0013696B" w14:paraId="4440C3AA"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36.1</w:t>
            </w:r>
          </w:p>
        </w:tc>
        <w:tc>
          <w:tcPr>
            <w:tcW w:w="1440" w:type="dxa"/>
            <w:tcBorders>
              <w:top w:val="single" w:sz="8" w:space="0" w:color="4F81BD" w:themeColor="accent1"/>
              <w:bottom w:val="single" w:sz="8" w:space="0" w:color="4F81BD" w:themeColor="accent1"/>
            </w:tcBorders>
          </w:tcPr>
          <w:p w:rsidR="0013696B" w14:paraId="039F22F5"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62.5</w:t>
            </w:r>
          </w:p>
        </w:tc>
        <w:tc>
          <w:tcPr>
            <w:tcW w:w="1440" w:type="dxa"/>
            <w:tcBorders>
              <w:top w:val="single" w:sz="8" w:space="0" w:color="4F81BD" w:themeColor="accent1"/>
              <w:bottom w:val="single" w:sz="8" w:space="0" w:color="4F81BD" w:themeColor="accent1"/>
            </w:tcBorders>
          </w:tcPr>
          <w:p w:rsidR="0013696B" w14:paraId="0B0CCE73"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19.8</w:t>
            </w:r>
          </w:p>
        </w:tc>
        <w:tc>
          <w:tcPr>
            <w:tcW w:w="1440" w:type="dxa"/>
            <w:tcBorders>
              <w:top w:val="single" w:sz="8" w:space="0" w:color="4F81BD" w:themeColor="accent1"/>
              <w:bottom w:val="single" w:sz="8" w:space="0" w:color="4F81BD" w:themeColor="accent1"/>
              <w:right w:val="single" w:sz="8" w:space="0" w:color="4F81BD" w:themeColor="accent1"/>
            </w:tcBorders>
          </w:tcPr>
          <w:p w:rsidR="0013696B" w14:paraId="0558C329"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8.6</w:t>
            </w:r>
          </w:p>
        </w:tc>
      </w:tr>
      <w:tr w14:paraId="79BD87F6" w14:textId="77777777" w:rsidTr="0013696B">
        <w:tblPrEx>
          <w:tblW w:w="0" w:type="auto"/>
          <w:tblInd w:w="0" w:type="dxa"/>
          <w:tblCellMar>
            <w:top w:w="0" w:type="dxa"/>
            <w:left w:w="108" w:type="dxa"/>
            <w:bottom w:w="0" w:type="dxa"/>
            <w:right w:w="108" w:type="dxa"/>
          </w:tblCellMar>
          <w:tblLook w:val="04A0"/>
        </w:tblPrEx>
        <w:tc>
          <w:tcPr>
            <w:tcW w:w="1440" w:type="dxa"/>
          </w:tcPr>
          <w:p w:rsidR="0013696B" w14:paraId="72F3D4F8" w14:textId="77777777">
            <w:pPr>
              <w:bidi w:val="0"/>
              <w:spacing w:after="0" w:line="240" w:lineRule="auto"/>
              <w:rPr>
                <w:rFonts w:ascii="Calibri" w:eastAsia="Calibri" w:hAnsi="Calibri" w:cstheme="minorBidi"/>
                <w:b/>
                <w:bCs/>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2022.0</w:t>
            </w:r>
          </w:p>
        </w:tc>
        <w:tc>
          <w:tcPr>
            <w:tcW w:w="1440" w:type="dxa"/>
          </w:tcPr>
          <w:p w:rsidR="0013696B" w14:paraId="0F3E1832"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152.7</w:t>
            </w:r>
          </w:p>
        </w:tc>
        <w:tc>
          <w:tcPr>
            <w:tcW w:w="1440" w:type="dxa"/>
          </w:tcPr>
          <w:p w:rsidR="0013696B" w14:paraId="5C32F16E"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47.6</w:t>
            </w:r>
          </w:p>
        </w:tc>
        <w:tc>
          <w:tcPr>
            <w:tcW w:w="1440" w:type="dxa"/>
          </w:tcPr>
          <w:p w:rsidR="0013696B" w14:paraId="2964FCCD"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79.2</w:t>
            </w:r>
          </w:p>
        </w:tc>
        <w:tc>
          <w:tcPr>
            <w:tcW w:w="1440" w:type="dxa"/>
          </w:tcPr>
          <w:p w:rsidR="0013696B" w14:paraId="22431745"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25.9</w:t>
            </w:r>
          </w:p>
        </w:tc>
        <w:tc>
          <w:tcPr>
            <w:tcW w:w="1440" w:type="dxa"/>
          </w:tcPr>
          <w:p w:rsidR="0013696B" w14:paraId="02E080E5"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11.2</w:t>
            </w:r>
          </w:p>
        </w:tc>
      </w:tr>
      <w:tr w14:paraId="1347E39B" w14:textId="77777777" w:rsidTr="0013696B">
        <w:tblPrEx>
          <w:tblW w:w="0" w:type="auto"/>
          <w:tblInd w:w="0" w:type="dxa"/>
          <w:tblCellMar>
            <w:top w:w="0" w:type="dxa"/>
            <w:left w:w="108" w:type="dxa"/>
            <w:bottom w:w="0" w:type="dxa"/>
            <w:right w:w="108" w:type="dxa"/>
          </w:tblCellMar>
          <w:tblLook w:val="04A0"/>
        </w:tblPrEx>
        <w:tc>
          <w:tcPr>
            <w:tcW w:w="1440" w:type="dxa"/>
            <w:tcBorders>
              <w:top w:val="single" w:sz="8" w:space="0" w:color="4F81BD" w:themeColor="accent1"/>
              <w:left w:val="single" w:sz="8" w:space="0" w:color="4F81BD" w:themeColor="accent1"/>
              <w:bottom w:val="single" w:sz="8" w:space="0" w:color="4F81BD" w:themeColor="accent1"/>
            </w:tcBorders>
          </w:tcPr>
          <w:p w:rsidR="0013696B" w14:paraId="7715E01A" w14:textId="77777777">
            <w:pPr>
              <w:bidi w:val="0"/>
              <w:spacing w:after="0" w:line="240" w:lineRule="auto"/>
              <w:rPr>
                <w:rFonts w:ascii="Calibri" w:eastAsia="Calibri" w:hAnsi="Calibri" w:cstheme="minorBidi"/>
                <w:b/>
                <w:bCs/>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2023.0</w:t>
            </w:r>
          </w:p>
        </w:tc>
        <w:tc>
          <w:tcPr>
            <w:tcW w:w="1440" w:type="dxa"/>
            <w:tcBorders>
              <w:top w:val="single" w:sz="8" w:space="0" w:color="4F81BD" w:themeColor="accent1"/>
              <w:bottom w:val="single" w:sz="8" w:space="0" w:color="4F81BD" w:themeColor="accent1"/>
            </w:tcBorders>
          </w:tcPr>
          <w:p w:rsidR="0013696B" w14:paraId="1D434068"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201.9</w:t>
            </w:r>
          </w:p>
        </w:tc>
        <w:tc>
          <w:tcPr>
            <w:tcW w:w="1440" w:type="dxa"/>
            <w:tcBorders>
              <w:top w:val="single" w:sz="8" w:space="0" w:color="4F81BD" w:themeColor="accent1"/>
              <w:bottom w:val="single" w:sz="8" w:space="0" w:color="4F81BD" w:themeColor="accent1"/>
            </w:tcBorders>
          </w:tcPr>
          <w:p w:rsidR="0013696B" w14:paraId="380A8C1B"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64.2</w:t>
            </w:r>
          </w:p>
        </w:tc>
        <w:tc>
          <w:tcPr>
            <w:tcW w:w="1440" w:type="dxa"/>
            <w:tcBorders>
              <w:top w:val="single" w:sz="8" w:space="0" w:color="4F81BD" w:themeColor="accent1"/>
              <w:bottom w:val="single" w:sz="8" w:space="0" w:color="4F81BD" w:themeColor="accent1"/>
            </w:tcBorders>
          </w:tcPr>
          <w:p w:rsidR="0013696B" w14:paraId="07ADB5BD"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99.0</w:t>
            </w:r>
          </w:p>
        </w:tc>
        <w:tc>
          <w:tcPr>
            <w:tcW w:w="1440" w:type="dxa"/>
            <w:tcBorders>
              <w:top w:val="single" w:sz="8" w:space="0" w:color="4F81BD" w:themeColor="accent1"/>
              <w:bottom w:val="single" w:sz="8" w:space="0" w:color="4F81BD" w:themeColor="accent1"/>
            </w:tcBorders>
          </w:tcPr>
          <w:p w:rsidR="0013696B" w14:paraId="2E21C38A"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38.7</w:t>
            </w:r>
          </w:p>
        </w:tc>
        <w:tc>
          <w:tcPr>
            <w:tcW w:w="1440" w:type="dxa"/>
            <w:tcBorders>
              <w:top w:val="single" w:sz="8" w:space="0" w:color="4F81BD" w:themeColor="accent1"/>
              <w:bottom w:val="single" w:sz="8" w:space="0" w:color="4F81BD" w:themeColor="accent1"/>
              <w:right w:val="single" w:sz="8" w:space="0" w:color="4F81BD" w:themeColor="accent1"/>
            </w:tcBorders>
          </w:tcPr>
          <w:p w:rsidR="0013696B" w14:paraId="60576198"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18.1</w:t>
            </w:r>
          </w:p>
        </w:tc>
      </w:tr>
      <w:tr w14:paraId="3D6401F2" w14:textId="77777777" w:rsidTr="0013696B">
        <w:tblPrEx>
          <w:tblW w:w="0" w:type="auto"/>
          <w:tblInd w:w="0" w:type="dxa"/>
          <w:tblCellMar>
            <w:top w:w="0" w:type="dxa"/>
            <w:left w:w="108" w:type="dxa"/>
            <w:bottom w:w="0" w:type="dxa"/>
            <w:right w:w="108" w:type="dxa"/>
          </w:tblCellMar>
          <w:tblLook w:val="04A0"/>
        </w:tblPrEx>
        <w:tc>
          <w:tcPr>
            <w:tcW w:w="1440" w:type="dxa"/>
          </w:tcPr>
          <w:p w:rsidR="0013696B" w14:paraId="47F36D8D" w14:textId="77777777">
            <w:pPr>
              <w:bidi w:val="0"/>
              <w:spacing w:after="0" w:line="240" w:lineRule="auto"/>
              <w:rPr>
                <w:rFonts w:ascii="Calibri" w:eastAsia="Calibri" w:hAnsi="Calibri" w:cstheme="minorBidi"/>
                <w:b/>
                <w:bCs/>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2024.0</w:t>
            </w:r>
          </w:p>
        </w:tc>
        <w:tc>
          <w:tcPr>
            <w:tcW w:w="1440" w:type="dxa"/>
          </w:tcPr>
          <w:p w:rsidR="0013696B" w14:paraId="60BE958F"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262.5</w:t>
            </w:r>
          </w:p>
        </w:tc>
        <w:tc>
          <w:tcPr>
            <w:tcW w:w="1440" w:type="dxa"/>
          </w:tcPr>
          <w:p w:rsidR="0013696B" w14:paraId="0A7C78E7"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83.7</w:t>
            </w:r>
          </w:p>
        </w:tc>
        <w:tc>
          <w:tcPr>
            <w:tcW w:w="1440" w:type="dxa"/>
          </w:tcPr>
          <w:p w:rsidR="0013696B" w14:paraId="6436E33F"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121.4</w:t>
            </w:r>
          </w:p>
        </w:tc>
        <w:tc>
          <w:tcPr>
            <w:tcW w:w="1440" w:type="dxa"/>
          </w:tcPr>
          <w:p w:rsidR="0013696B" w14:paraId="28B8E3F8"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57.4</w:t>
            </w:r>
          </w:p>
        </w:tc>
        <w:tc>
          <w:tcPr>
            <w:tcW w:w="1440" w:type="dxa"/>
          </w:tcPr>
          <w:p w:rsidR="0013696B" w14:paraId="580E7324"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28.3</w:t>
            </w:r>
          </w:p>
        </w:tc>
      </w:tr>
      <w:tr w14:paraId="4F3961C2" w14:textId="77777777" w:rsidTr="0013696B">
        <w:tblPrEx>
          <w:tblW w:w="0" w:type="auto"/>
          <w:tblInd w:w="0" w:type="dxa"/>
          <w:tblCellMar>
            <w:top w:w="0" w:type="dxa"/>
            <w:left w:w="108" w:type="dxa"/>
            <w:bottom w:w="0" w:type="dxa"/>
            <w:right w:w="108" w:type="dxa"/>
          </w:tblCellMar>
          <w:tblLook w:val="04A0"/>
        </w:tblPrEx>
        <w:tc>
          <w:tcPr>
            <w:tcW w:w="1440" w:type="dxa"/>
            <w:tcBorders>
              <w:top w:val="single" w:sz="8" w:space="0" w:color="4F81BD" w:themeColor="accent1"/>
              <w:left w:val="single" w:sz="8" w:space="0" w:color="4F81BD" w:themeColor="accent1"/>
              <w:bottom w:val="single" w:sz="8" w:space="0" w:color="4F81BD" w:themeColor="accent1"/>
            </w:tcBorders>
          </w:tcPr>
          <w:p w:rsidR="0013696B" w14:paraId="40AB80E6" w14:textId="77777777">
            <w:pPr>
              <w:bidi w:val="0"/>
              <w:spacing w:after="0" w:line="240" w:lineRule="auto"/>
              <w:rPr>
                <w:rFonts w:ascii="Calibri" w:eastAsia="Calibri" w:hAnsi="Calibri" w:cstheme="minorBidi"/>
                <w:b/>
                <w:bCs/>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2025.0</w:t>
            </w:r>
          </w:p>
        </w:tc>
        <w:tc>
          <w:tcPr>
            <w:tcW w:w="1440" w:type="dxa"/>
            <w:tcBorders>
              <w:top w:val="single" w:sz="8" w:space="0" w:color="4F81BD" w:themeColor="accent1"/>
              <w:bottom w:val="single" w:sz="8" w:space="0" w:color="4F81BD" w:themeColor="accent1"/>
            </w:tcBorders>
          </w:tcPr>
          <w:p w:rsidR="0013696B" w14:paraId="0E7CC52F"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324.8</w:t>
            </w:r>
          </w:p>
        </w:tc>
        <w:tc>
          <w:tcPr>
            <w:tcW w:w="1440" w:type="dxa"/>
            <w:tcBorders>
              <w:top w:val="single" w:sz="8" w:space="0" w:color="4F81BD" w:themeColor="accent1"/>
              <w:bottom w:val="single" w:sz="8" w:space="0" w:color="4F81BD" w:themeColor="accent1"/>
            </w:tcBorders>
          </w:tcPr>
          <w:p w:rsidR="0013696B" w14:paraId="63A55671"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104.5</w:t>
            </w:r>
          </w:p>
        </w:tc>
        <w:tc>
          <w:tcPr>
            <w:tcW w:w="1440" w:type="dxa"/>
            <w:tcBorders>
              <w:top w:val="single" w:sz="8" w:space="0" w:color="4F81BD" w:themeColor="accent1"/>
              <w:bottom w:val="single" w:sz="8" w:space="0" w:color="4F81BD" w:themeColor="accent1"/>
            </w:tcBorders>
          </w:tcPr>
          <w:p w:rsidR="0013696B" w14:paraId="58F219FF"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144.2</w:t>
            </w:r>
          </w:p>
        </w:tc>
        <w:tc>
          <w:tcPr>
            <w:tcW w:w="1440" w:type="dxa"/>
            <w:tcBorders>
              <w:top w:val="single" w:sz="8" w:space="0" w:color="4F81BD" w:themeColor="accent1"/>
              <w:bottom w:val="single" w:sz="8" w:space="0" w:color="4F81BD" w:themeColor="accent1"/>
            </w:tcBorders>
          </w:tcPr>
          <w:p w:rsidR="0013696B" w14:paraId="5ADC2985"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76.1</w:t>
            </w:r>
          </w:p>
        </w:tc>
        <w:tc>
          <w:tcPr>
            <w:tcW w:w="1440" w:type="dxa"/>
            <w:tcBorders>
              <w:top w:val="single" w:sz="8" w:space="0" w:color="4F81BD" w:themeColor="accent1"/>
              <w:bottom w:val="single" w:sz="8" w:space="0" w:color="4F81BD" w:themeColor="accent1"/>
              <w:right w:val="single" w:sz="8" w:space="0" w:color="4F81BD" w:themeColor="accent1"/>
            </w:tcBorders>
          </w:tcPr>
          <w:p w:rsidR="0013696B" w14:paraId="4B31C402"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38.9</w:t>
            </w:r>
          </w:p>
        </w:tc>
      </w:tr>
    </w:tbl>
    <w:p w:rsidR="0013696B" w14:paraId="676831EE" w14:textId="77777777"/>
    <w:p w:rsidR="0013696B" w14:paraId="23506B3A"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収益の流れ:SaaS (Essential 28%、Growth 26%、Enterprise 18%)、クラウド サービス 18%、コンサルティング 10%。</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粗利は 69% (2021 年) から 68% (2025 年) に改善されました (クラウド サービスへのミックス シフトにより、SaaS マージンの向上がわずかに相殺されます)。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営業利益率は 16.7% から 23.4% に拡大。</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流動性は、現金と同等の 1 億 1,200 ドル (2025 年 10 月)、負債 8,500 万ドル (純債務 -2,700 万ドル) で引き続き強力です。</w:t>
      </w:r>
    </w:p>
    <w:p w:rsidR="0013696B" w14:paraId="5F2E5BE5" w14:textId="77777777">
      <w:r>
        <w:rPr>
          <w:noProof/>
        </w:rPr>
        <w:drawing>
          <wp:inline distT="0" distB="0" distL="0" distR="0">
            <wp:extent cx="5303520" cy="2651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nancial_trend.png"/>
                    <pic:cNvPicPr/>
                  </pic:nvPicPr>
                  <pic:blipFill>
                    <a:blip xmlns:r="http://schemas.openxmlformats.org/officeDocument/2006/relationships" r:embed="rId5"/>
                    <a:stretch>
                      <a:fillRect/>
                    </a:stretch>
                  </pic:blipFill>
                  <pic:spPr>
                    <a:xfrm>
                      <a:off x="0" y="0"/>
                      <a:ext cx="5303520" cy="2651760"/>
                    </a:xfrm>
                    <a:prstGeom prst="rect">
                      <a:avLst/>
                    </a:prstGeom>
                  </pic:spPr>
                </pic:pic>
              </a:graphicData>
            </a:graphic>
          </wp:inline>
        </w:drawing>
      </w:r>
    </w:p>
    <w:p w:rsidR="0013696B" w14:paraId="10885981" w14:textId="77777777">
      <w:pPr>
        <w:pStyle w:val="Heading1"/>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 xml:space="preserve">4.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顧客と販売の分析情報</w:t>
      </w:r>
    </w:p>
    <w:tbl>
      <w:tblPr>
        <w:tblStyle w:val="LightListAccent1"/>
        <w:tblStyleRowBandSize w:val="1"/>
        <w:tblStyleColBandSize w:val="1"/>
        <w:tblW w:w="0" w:type="auto"/>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Look w:val="04A0"/>
      </w:tblPr>
      <w:tblGrid>
        <w:gridCol w:w="4320"/>
        <w:gridCol w:w="4320"/>
      </w:tblGrid>
      <w:tr w14:paraId="33F832EB" w14:textId="77777777" w:rsidTr="0013696B">
        <w:tblPrEx>
          <w:tblW w:w="0" w:type="auto"/>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Look w:val="04A0"/>
        </w:tblPrEx>
        <w:tc>
          <w:tcPr>
            <w:tcW w:w="4320" w:type="dxa"/>
            <w:shd w:val="clear" w:color="auto" w:fill="4F81BD" w:themeFill="accent1"/>
          </w:tcPr>
          <w:p w:rsidR="0013696B" w14:paraId="59DE6043" w14:textId="77777777">
            <w:pPr>
              <w:bidi w:val="0"/>
              <w:spacing w:before="0" w:after="0" w:line="240" w:lineRule="auto"/>
              <w:rPr>
                <w:rFonts w:ascii="Calibri" w:eastAsia="Calibri" w:hAnsi="Calibri" w:cstheme="minorBidi"/>
                <w:b/>
                <w:bCs/>
                <w:color w:val="FFFFFF" w:themeColor="background1"/>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FFFFFF"/>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メトリック</w:t>
            </w:r>
          </w:p>
        </w:tc>
        <w:tc>
          <w:tcPr>
            <w:tcW w:w="4320" w:type="dxa"/>
            <w:shd w:val="clear" w:color="auto" w:fill="4F81BD" w:themeFill="accent1"/>
          </w:tcPr>
          <w:p w:rsidR="0013696B" w14:paraId="431FBF3C" w14:textId="77777777">
            <w:pPr>
              <w:bidi w:val="0"/>
              <w:spacing w:before="0" w:after="0" w:line="240" w:lineRule="auto"/>
              <w:rPr>
                <w:rFonts w:ascii="Calibri" w:eastAsia="Calibri" w:hAnsi="Calibri" w:cstheme="minorBidi"/>
                <w:b/>
                <w:bCs/>
                <w:color w:val="FFFFFF" w:themeColor="background1"/>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FFFFFF"/>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Value</w:t>
            </w:r>
          </w:p>
        </w:tc>
      </w:tr>
      <w:tr w14:paraId="6C7A73E5" w14:textId="77777777" w:rsidTr="0013696B">
        <w:tblPrEx>
          <w:tblW w:w="0" w:type="auto"/>
          <w:tblInd w:w="0" w:type="dxa"/>
          <w:tblCellMar>
            <w:top w:w="0" w:type="dxa"/>
            <w:left w:w="108" w:type="dxa"/>
            <w:bottom w:w="0" w:type="dxa"/>
            <w:right w:w="108" w:type="dxa"/>
          </w:tblCellMar>
          <w:tblLook w:val="04A0"/>
        </w:tblPrEx>
        <w:tc>
          <w:tcPr>
            <w:tcW w:w="4320" w:type="dxa"/>
            <w:tcBorders>
              <w:top w:val="single" w:sz="8" w:space="0" w:color="4F81BD" w:themeColor="accent1"/>
              <w:left w:val="single" w:sz="8" w:space="0" w:color="4F81BD" w:themeColor="accent1"/>
              <w:bottom w:val="single" w:sz="8" w:space="0" w:color="4F81BD" w:themeColor="accent1"/>
            </w:tcBorders>
          </w:tcPr>
          <w:p w:rsidR="0013696B" w14:paraId="53C63E35" w14:textId="77777777">
            <w:pPr>
              <w:bidi w:val="0"/>
              <w:spacing w:after="0" w:line="240" w:lineRule="auto"/>
              <w:rPr>
                <w:rFonts w:ascii="Calibri" w:eastAsia="Calibri" w:hAnsi="Calibri" w:cstheme="minorBidi"/>
                <w:b/>
                <w:bCs/>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顧客総数</w:t>
            </w:r>
          </w:p>
        </w:tc>
        <w:tc>
          <w:tcPr>
            <w:tcW w:w="4320" w:type="dxa"/>
            <w:tcBorders>
              <w:top w:val="single" w:sz="8" w:space="0" w:color="4F81BD" w:themeColor="accent1"/>
              <w:bottom w:val="single" w:sz="8" w:space="0" w:color="4F81BD" w:themeColor="accent1"/>
              <w:right w:val="single" w:sz="8" w:space="0" w:color="4F81BD" w:themeColor="accent1"/>
            </w:tcBorders>
          </w:tcPr>
          <w:p w:rsidR="0013696B" w14:paraId="774D531D"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2,480</w:t>
            </w:r>
          </w:p>
        </w:tc>
      </w:tr>
      <w:tr w14:paraId="32542C04" w14:textId="77777777" w:rsidTr="0013696B">
        <w:tblPrEx>
          <w:tblW w:w="0" w:type="auto"/>
          <w:tblInd w:w="0" w:type="dxa"/>
          <w:tblCellMar>
            <w:top w:w="0" w:type="dxa"/>
            <w:left w:w="108" w:type="dxa"/>
            <w:bottom w:w="0" w:type="dxa"/>
            <w:right w:w="108" w:type="dxa"/>
          </w:tblCellMar>
          <w:tblLook w:val="04A0"/>
        </w:tblPrEx>
        <w:tc>
          <w:tcPr>
            <w:tcW w:w="4320" w:type="dxa"/>
          </w:tcPr>
          <w:p w:rsidR="0013696B" w14:paraId="30BD1BD7" w14:textId="77777777">
            <w:pPr>
              <w:bidi w:val="0"/>
              <w:spacing w:after="0" w:line="240" w:lineRule="auto"/>
              <w:rPr>
                <w:rFonts w:ascii="Calibri" w:eastAsia="Calibri" w:hAnsi="Calibri" w:cstheme="minorBidi"/>
                <w:b/>
                <w:bCs/>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エンタープライズ アカウント</w:t>
            </w:r>
          </w:p>
        </w:tc>
        <w:tc>
          <w:tcPr>
            <w:tcW w:w="4320" w:type="dxa"/>
          </w:tcPr>
          <w:p w:rsidR="0013696B" w14:paraId="61E1E67D"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410 (17%)</w:t>
            </w:r>
          </w:p>
        </w:tc>
      </w:tr>
      <w:tr w14:paraId="1CFC9394" w14:textId="77777777" w:rsidTr="0013696B">
        <w:tblPrEx>
          <w:tblW w:w="0" w:type="auto"/>
          <w:tblInd w:w="0" w:type="dxa"/>
          <w:tblCellMar>
            <w:top w:w="0" w:type="dxa"/>
            <w:left w:w="108" w:type="dxa"/>
            <w:bottom w:w="0" w:type="dxa"/>
            <w:right w:w="108" w:type="dxa"/>
          </w:tblCellMar>
          <w:tblLook w:val="04A0"/>
        </w:tblPrEx>
        <w:tc>
          <w:tcPr>
            <w:tcW w:w="4320" w:type="dxa"/>
            <w:tcBorders>
              <w:top w:val="single" w:sz="8" w:space="0" w:color="4F81BD" w:themeColor="accent1"/>
              <w:left w:val="single" w:sz="8" w:space="0" w:color="4F81BD" w:themeColor="accent1"/>
              <w:bottom w:val="single" w:sz="8" w:space="0" w:color="4F81BD" w:themeColor="accent1"/>
            </w:tcBorders>
          </w:tcPr>
          <w:p w:rsidR="0013696B" w14:paraId="622970CA" w14:textId="77777777">
            <w:pPr>
              <w:bidi w:val="0"/>
              <w:spacing w:after="0" w:line="240" w:lineRule="auto"/>
              <w:rPr>
                <w:rFonts w:ascii="Calibri" w:eastAsia="Calibri" w:hAnsi="Calibri" w:cstheme="minorBidi"/>
                <w:b/>
                <w:bCs/>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中小規模企業/商用</w:t>
            </w:r>
          </w:p>
        </w:tc>
        <w:tc>
          <w:tcPr>
            <w:tcW w:w="4320" w:type="dxa"/>
            <w:tcBorders>
              <w:top w:val="single" w:sz="8" w:space="0" w:color="4F81BD" w:themeColor="accent1"/>
              <w:bottom w:val="single" w:sz="8" w:space="0" w:color="4F81BD" w:themeColor="accent1"/>
              <w:right w:val="single" w:sz="8" w:space="0" w:color="4F81BD" w:themeColor="accent1"/>
            </w:tcBorders>
          </w:tcPr>
          <w:p w:rsidR="0013696B" w14:paraId="6AD8DF54"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2,070 (83%)</w:t>
            </w:r>
          </w:p>
        </w:tc>
      </w:tr>
      <w:tr w14:paraId="71B0B574" w14:textId="77777777" w:rsidTr="0013696B">
        <w:tblPrEx>
          <w:tblW w:w="0" w:type="auto"/>
          <w:tblInd w:w="0" w:type="dxa"/>
          <w:tblCellMar>
            <w:top w:w="0" w:type="dxa"/>
            <w:left w:w="108" w:type="dxa"/>
            <w:bottom w:w="0" w:type="dxa"/>
            <w:right w:w="108" w:type="dxa"/>
          </w:tblCellMar>
          <w:tblLook w:val="04A0"/>
        </w:tblPrEx>
        <w:tc>
          <w:tcPr>
            <w:tcW w:w="4320" w:type="dxa"/>
          </w:tcPr>
          <w:p w:rsidR="0013696B" w14:paraId="20B64433" w14:textId="77777777">
            <w:pPr>
              <w:bidi w:val="0"/>
              <w:spacing w:after="0" w:line="240" w:lineRule="auto"/>
              <w:rPr>
                <w:rFonts w:ascii="Calibri" w:eastAsia="Calibri" w:hAnsi="Calibri" w:cstheme="minorBidi"/>
                <w:b/>
                <w:bCs/>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収益の上位 10% の顧客</w:t>
            </w:r>
          </w:p>
        </w:tc>
        <w:tc>
          <w:tcPr>
            <w:tcW w:w="4320" w:type="dxa"/>
          </w:tcPr>
          <w:p w:rsidR="0013696B" w14:paraId="0B630B2F"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31%</w:t>
            </w:r>
          </w:p>
        </w:tc>
      </w:tr>
      <w:tr w14:paraId="15C20133" w14:textId="77777777" w:rsidTr="0013696B">
        <w:tblPrEx>
          <w:tblW w:w="0" w:type="auto"/>
          <w:tblInd w:w="0" w:type="dxa"/>
          <w:tblCellMar>
            <w:top w:w="0" w:type="dxa"/>
            <w:left w:w="108" w:type="dxa"/>
            <w:bottom w:w="0" w:type="dxa"/>
            <w:right w:w="108" w:type="dxa"/>
          </w:tblCellMar>
          <w:tblLook w:val="04A0"/>
        </w:tblPrEx>
        <w:tc>
          <w:tcPr>
            <w:tcW w:w="4320" w:type="dxa"/>
            <w:tcBorders>
              <w:top w:val="single" w:sz="8" w:space="0" w:color="4F81BD" w:themeColor="accent1"/>
              <w:left w:val="single" w:sz="8" w:space="0" w:color="4F81BD" w:themeColor="accent1"/>
              <w:bottom w:val="single" w:sz="8" w:space="0" w:color="4F81BD" w:themeColor="accent1"/>
            </w:tcBorders>
          </w:tcPr>
          <w:p w:rsidR="0013696B" w14:paraId="232E29DD" w14:textId="77777777">
            <w:pPr>
              <w:bidi w:val="0"/>
              <w:spacing w:after="0" w:line="240" w:lineRule="auto"/>
              <w:rPr>
                <w:rFonts w:ascii="Calibri" w:eastAsia="Calibri" w:hAnsi="Calibri" w:cstheme="minorBidi"/>
                <w:b/>
                <w:bCs/>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更新率 (SaaS)</w:t>
            </w:r>
          </w:p>
        </w:tc>
        <w:tc>
          <w:tcPr>
            <w:tcW w:w="4320" w:type="dxa"/>
            <w:tcBorders>
              <w:top w:val="single" w:sz="8" w:space="0" w:color="4F81BD" w:themeColor="accent1"/>
              <w:bottom w:val="single" w:sz="8" w:space="0" w:color="4F81BD" w:themeColor="accent1"/>
              <w:right w:val="single" w:sz="8" w:space="0" w:color="4F81BD" w:themeColor="accent1"/>
            </w:tcBorders>
          </w:tcPr>
          <w:p w:rsidR="0013696B" w14:paraId="3D08CD8A"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92% </w:t>
            </w:r>
          </w:p>
        </w:tc>
      </w:tr>
      <w:tr w14:paraId="56D9B912" w14:textId="77777777" w:rsidTr="0013696B">
        <w:tblPrEx>
          <w:tblW w:w="0" w:type="auto"/>
          <w:tblInd w:w="0" w:type="dxa"/>
          <w:tblCellMar>
            <w:top w:w="0" w:type="dxa"/>
            <w:left w:w="108" w:type="dxa"/>
            <w:bottom w:w="0" w:type="dxa"/>
            <w:right w:w="108" w:type="dxa"/>
          </w:tblCellMar>
          <w:tblLook w:val="04A0"/>
        </w:tblPrEx>
        <w:tc>
          <w:tcPr>
            <w:tcW w:w="4320" w:type="dxa"/>
          </w:tcPr>
          <w:p w:rsidR="0013696B" w14:paraId="4EB4C1BE" w14:textId="77777777">
            <w:pPr>
              <w:bidi w:val="0"/>
              <w:spacing w:after="0" w:line="240" w:lineRule="auto"/>
              <w:rPr>
                <w:rFonts w:ascii="Calibri" w:eastAsia="Calibri" w:hAnsi="Calibri" w:cstheme="minorBidi"/>
                <w:b/>
                <w:bCs/>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チャーン (ロゴ)</w:t>
            </w:r>
          </w:p>
        </w:tc>
        <w:tc>
          <w:tcPr>
            <w:tcW w:w="4320" w:type="dxa"/>
          </w:tcPr>
          <w:p w:rsidR="0013696B" w14:paraId="0779630E"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6.8%</w:t>
            </w:r>
          </w:p>
        </w:tc>
      </w:tr>
      <w:tr w14:paraId="4B2AB11A" w14:textId="77777777" w:rsidTr="0013696B">
        <w:tblPrEx>
          <w:tblW w:w="0" w:type="auto"/>
          <w:tblInd w:w="0" w:type="dxa"/>
          <w:tblCellMar>
            <w:top w:w="0" w:type="dxa"/>
            <w:left w:w="108" w:type="dxa"/>
            <w:bottom w:w="0" w:type="dxa"/>
            <w:right w:w="108" w:type="dxa"/>
          </w:tblCellMar>
          <w:tblLook w:val="04A0"/>
        </w:tblPrEx>
        <w:tc>
          <w:tcPr>
            <w:tcW w:w="4320" w:type="dxa"/>
            <w:tcBorders>
              <w:top w:val="single" w:sz="8" w:space="0" w:color="4F81BD" w:themeColor="accent1"/>
              <w:left w:val="single" w:sz="8" w:space="0" w:color="4F81BD" w:themeColor="accent1"/>
              <w:bottom w:val="single" w:sz="8" w:space="0" w:color="4F81BD" w:themeColor="accent1"/>
            </w:tcBorders>
          </w:tcPr>
          <w:p w:rsidR="0013696B" w14:paraId="799DCF16" w14:textId="77777777">
            <w:pPr>
              <w:bidi w:val="0"/>
              <w:spacing w:after="0" w:line="240" w:lineRule="auto"/>
              <w:rPr>
                <w:rFonts w:ascii="Calibri" w:eastAsia="Calibri" w:hAnsi="Calibri" w:cstheme="minorBidi"/>
                <w:b/>
                <w:bCs/>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NPS</w:t>
            </w:r>
          </w:p>
        </w:tc>
        <w:tc>
          <w:tcPr>
            <w:tcW w:w="4320" w:type="dxa"/>
            <w:tcBorders>
              <w:top w:val="single" w:sz="8" w:space="0" w:color="4F81BD" w:themeColor="accent1"/>
              <w:bottom w:val="single" w:sz="8" w:space="0" w:color="4F81BD" w:themeColor="accent1"/>
              <w:right w:val="single" w:sz="8" w:space="0" w:color="4F81BD" w:themeColor="accent1"/>
            </w:tcBorders>
          </w:tcPr>
          <w:p w:rsidR="0013696B" w14:paraId="361E803F"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46</w:t>
            </w:r>
          </w:p>
        </w:tc>
      </w:tr>
      <w:tr w14:paraId="23BF5BE4" w14:textId="77777777" w:rsidTr="0013696B">
        <w:tblPrEx>
          <w:tblW w:w="0" w:type="auto"/>
          <w:tblInd w:w="0" w:type="dxa"/>
          <w:tblCellMar>
            <w:top w:w="0" w:type="dxa"/>
            <w:left w:w="108" w:type="dxa"/>
            <w:bottom w:w="0" w:type="dxa"/>
            <w:right w:w="108" w:type="dxa"/>
          </w:tblCellMar>
          <w:tblLook w:val="04A0"/>
        </w:tblPrEx>
        <w:tc>
          <w:tcPr>
            <w:tcW w:w="4320" w:type="dxa"/>
          </w:tcPr>
          <w:p w:rsidR="0013696B" w14:paraId="3FD8FF79" w14:textId="77777777">
            <w:pPr>
              <w:bidi w:val="0"/>
              <w:spacing w:after="0" w:line="240" w:lineRule="auto"/>
              <w:rPr>
                <w:rFonts w:ascii="Calibri" w:eastAsia="Calibri" w:hAnsi="Calibri" w:cstheme="minorBidi"/>
                <w:b/>
                <w:bCs/>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平均販売サイクル (日)</w:t>
            </w:r>
          </w:p>
        </w:tc>
        <w:tc>
          <w:tcPr>
            <w:tcW w:w="4320" w:type="dxa"/>
          </w:tcPr>
          <w:p w:rsidR="0013696B" w14:paraId="02CD944F"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74</w:t>
            </w:r>
          </w:p>
        </w:tc>
      </w:tr>
      <w:tr w14:paraId="6813B7F4" w14:textId="77777777" w:rsidTr="0013696B">
        <w:tblPrEx>
          <w:tblW w:w="0" w:type="auto"/>
          <w:tblInd w:w="0" w:type="dxa"/>
          <w:tblCellMar>
            <w:top w:w="0" w:type="dxa"/>
            <w:left w:w="108" w:type="dxa"/>
            <w:bottom w:w="0" w:type="dxa"/>
            <w:right w:w="108" w:type="dxa"/>
          </w:tblCellMar>
          <w:tblLook w:val="04A0"/>
        </w:tblPrEx>
        <w:tc>
          <w:tcPr>
            <w:tcW w:w="4320" w:type="dxa"/>
            <w:tcBorders>
              <w:top w:val="single" w:sz="8" w:space="0" w:color="4F81BD" w:themeColor="accent1"/>
              <w:left w:val="single" w:sz="8" w:space="0" w:color="4F81BD" w:themeColor="accent1"/>
              <w:bottom w:val="single" w:sz="8" w:space="0" w:color="4F81BD" w:themeColor="accent1"/>
            </w:tcBorders>
          </w:tcPr>
          <w:p w:rsidR="0013696B" w14:paraId="7F34EE5A" w14:textId="77777777">
            <w:pPr>
              <w:bidi w:val="0"/>
              <w:spacing w:after="0" w:line="240" w:lineRule="auto"/>
              <w:rPr>
                <w:rFonts w:ascii="Calibri" w:eastAsia="Calibri" w:hAnsi="Calibri" w:cstheme="minorBidi"/>
                <w:b/>
                <w:bCs/>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パイプライン (USD、百万)</w:t>
            </w:r>
          </w:p>
        </w:tc>
        <w:tc>
          <w:tcPr>
            <w:tcW w:w="4320" w:type="dxa"/>
            <w:tcBorders>
              <w:top w:val="single" w:sz="8" w:space="0" w:color="4F81BD" w:themeColor="accent1"/>
              <w:bottom w:val="single" w:sz="8" w:space="0" w:color="4F81BD" w:themeColor="accent1"/>
              <w:right w:val="single" w:sz="8" w:space="0" w:color="4F81BD" w:themeColor="accent1"/>
            </w:tcBorders>
          </w:tcPr>
          <w:p w:rsidR="0013696B" w14:paraId="2CA8F034"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182</w:t>
            </w:r>
          </w:p>
        </w:tc>
      </w:tr>
      <w:tr w14:paraId="046B2D65" w14:textId="77777777" w:rsidTr="0013696B">
        <w:tblPrEx>
          <w:tblW w:w="0" w:type="auto"/>
          <w:tblInd w:w="0" w:type="dxa"/>
          <w:tblCellMar>
            <w:top w:w="0" w:type="dxa"/>
            <w:left w:w="108" w:type="dxa"/>
            <w:bottom w:w="0" w:type="dxa"/>
            <w:right w:w="108" w:type="dxa"/>
          </w:tblCellMar>
          <w:tblLook w:val="04A0"/>
        </w:tblPrEx>
        <w:tc>
          <w:tcPr>
            <w:tcW w:w="4320" w:type="dxa"/>
          </w:tcPr>
          <w:p w:rsidR="0013696B" w14:paraId="57850D44" w14:textId="77777777">
            <w:pPr>
              <w:bidi w:val="0"/>
              <w:spacing w:after="0" w:line="240" w:lineRule="auto"/>
              <w:rPr>
                <w:rFonts w:ascii="Calibri" w:eastAsia="Calibri" w:hAnsi="Calibri" w:cstheme="minorBidi"/>
                <w:b/>
                <w:bCs/>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受注率 (%)</w:t>
            </w:r>
          </w:p>
        </w:tc>
        <w:tc>
          <w:tcPr>
            <w:tcW w:w="4320" w:type="dxa"/>
          </w:tcPr>
          <w:p w:rsidR="0013696B" w14:paraId="265ACCAF"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29%</w:t>
            </w:r>
          </w:p>
        </w:tc>
      </w:tr>
    </w:tbl>
    <w:p w:rsidR="0013696B" w14:paraId="1EB92AAC" w14:textId="77777777"/>
    <w:p w:rsidR="0013696B" w14:paraId="40A6DE0E"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売上モデル:直販 60%、チャネル パートナー 25%、オンライン セルフサービス 15%。</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ヨーロッパ、中近東およびアフリカは ARR の 54%、NA の 36%、APJ の 10% を占めています。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顧客ロイヤルティは、コンプライアンス テンプレートと迅速な投資収益率によって推進されます。</w:t>
      </w:r>
    </w:p>
    <w:p w:rsidR="0013696B" w14:paraId="5CA18332" w14:textId="77777777">
      <w:r>
        <w:rPr>
          <w:noProof/>
        </w:rPr>
        <w:drawing>
          <wp:inline distT="0" distB="0" distL="0" distR="0">
            <wp:extent cx="3840480" cy="3840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ustomer_composition.png"/>
                    <pic:cNvPicPr/>
                  </pic:nvPicPr>
                  <pic:blipFill>
                    <a:blip xmlns:r="http://schemas.openxmlformats.org/officeDocument/2006/relationships" r:embed="rId6"/>
                    <a:stretch>
                      <a:fillRect/>
                    </a:stretch>
                  </pic:blipFill>
                  <pic:spPr>
                    <a:xfrm>
                      <a:off x="0" y="0"/>
                      <a:ext cx="3840480" cy="3840480"/>
                    </a:xfrm>
                    <a:prstGeom prst="rect">
                      <a:avLst/>
                    </a:prstGeom>
                  </pic:spPr>
                </pic:pic>
              </a:graphicData>
            </a:graphic>
          </wp:inline>
        </w:drawing>
      </w:r>
    </w:p>
    <w:p w:rsidR="0013696B" w14:paraId="3B32F346" w14:textId="77777777">
      <w:pPr>
        <w:pStyle w:val="Heading1"/>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 xml:space="preserve">5.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運用と機能</w:t>
      </w:r>
    </w:p>
    <w:p w:rsidR="0013696B" w14:paraId="2CABA3AA"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組織構造:製品 (420)、エンジニアリング (310)、セキュリティとコンプライアンス (90)、販売 (160)、マーケティング (70)、カスタマー サクセス (80)、間接費 (20)。</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リーダーシップは、OKR、四半期ごとのポートフォリオ レビュー、DevSecOps プラクティスにより運用します。</w:t>
      </w:r>
    </w:p>
    <w:tbl>
      <w:tblPr>
        <w:tblStyle w:val="LightListAccent1"/>
        <w:tblStyleRowBandSize w:val="1"/>
        <w:tblStyleColBandSize w:val="1"/>
        <w:tblW w:w="0" w:type="auto"/>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Look w:val="04A0"/>
      </w:tblPr>
      <w:tblGrid>
        <w:gridCol w:w="4320"/>
        <w:gridCol w:w="4320"/>
      </w:tblGrid>
      <w:tr w14:paraId="6582C98C" w14:textId="77777777" w:rsidTr="0013696B">
        <w:tblPrEx>
          <w:tblW w:w="0" w:type="auto"/>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Look w:val="04A0"/>
        </w:tblPrEx>
        <w:tc>
          <w:tcPr>
            <w:tcW w:w="4320" w:type="dxa"/>
            <w:shd w:val="clear" w:color="auto" w:fill="4F81BD" w:themeFill="accent1"/>
          </w:tcPr>
          <w:p w:rsidR="0013696B" w14:paraId="4FB2856D" w14:textId="77777777">
            <w:pPr>
              <w:bidi w:val="0"/>
              <w:spacing w:before="0" w:after="0" w:line="240" w:lineRule="auto"/>
              <w:rPr>
                <w:rFonts w:ascii="Calibri" w:eastAsia="Calibri" w:hAnsi="Calibri" w:cstheme="minorBidi"/>
                <w:b/>
                <w:bCs/>
                <w:color w:val="FFFFFF" w:themeColor="background1"/>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FFFFFF"/>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運用 KPI</w:t>
            </w:r>
          </w:p>
        </w:tc>
        <w:tc>
          <w:tcPr>
            <w:tcW w:w="4320" w:type="dxa"/>
            <w:shd w:val="clear" w:color="auto" w:fill="4F81BD" w:themeFill="accent1"/>
          </w:tcPr>
          <w:p w:rsidR="0013696B" w14:paraId="0EB58A2E" w14:textId="77777777">
            <w:pPr>
              <w:bidi w:val="0"/>
              <w:spacing w:before="0" w:after="0" w:line="240" w:lineRule="auto"/>
              <w:rPr>
                <w:rFonts w:ascii="Calibri" w:eastAsia="Calibri" w:hAnsi="Calibri" w:cstheme="minorBidi"/>
                <w:b/>
                <w:bCs/>
                <w:color w:val="FFFFFF" w:themeColor="background1"/>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FFFFFF"/>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現在</w:t>
            </w:r>
          </w:p>
        </w:tc>
      </w:tr>
      <w:tr w14:paraId="4CDC981B" w14:textId="77777777" w:rsidTr="0013696B">
        <w:tblPrEx>
          <w:tblW w:w="0" w:type="auto"/>
          <w:tblInd w:w="0" w:type="dxa"/>
          <w:tblCellMar>
            <w:top w:w="0" w:type="dxa"/>
            <w:left w:w="108" w:type="dxa"/>
            <w:bottom w:w="0" w:type="dxa"/>
            <w:right w:w="108" w:type="dxa"/>
          </w:tblCellMar>
          <w:tblLook w:val="04A0"/>
        </w:tblPrEx>
        <w:tc>
          <w:tcPr>
            <w:tcW w:w="4320" w:type="dxa"/>
            <w:tcBorders>
              <w:top w:val="single" w:sz="8" w:space="0" w:color="4F81BD" w:themeColor="accent1"/>
              <w:left w:val="single" w:sz="8" w:space="0" w:color="4F81BD" w:themeColor="accent1"/>
              <w:bottom w:val="single" w:sz="8" w:space="0" w:color="4F81BD" w:themeColor="accent1"/>
            </w:tcBorders>
          </w:tcPr>
          <w:p w:rsidR="0013696B" w14:paraId="657ADA98" w14:textId="77777777">
            <w:pPr>
              <w:bidi w:val="0"/>
              <w:spacing w:after="0" w:line="240" w:lineRule="auto"/>
              <w:rPr>
                <w:rFonts w:ascii="Calibri" w:eastAsia="Calibri" w:hAnsi="Calibri" w:cstheme="minorBidi"/>
                <w:b/>
                <w:bCs/>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リリース頻度 (1 か月あたり)</w:t>
            </w:r>
          </w:p>
        </w:tc>
        <w:tc>
          <w:tcPr>
            <w:tcW w:w="4320" w:type="dxa"/>
            <w:tcBorders>
              <w:top w:val="single" w:sz="8" w:space="0" w:color="4F81BD" w:themeColor="accent1"/>
              <w:bottom w:val="single" w:sz="8" w:space="0" w:color="4F81BD" w:themeColor="accent1"/>
              <w:right w:val="single" w:sz="8" w:space="0" w:color="4F81BD" w:themeColor="accent1"/>
            </w:tcBorders>
          </w:tcPr>
          <w:p w:rsidR="0013696B" w14:paraId="3520F826"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10 から 12</w:t>
            </w:r>
          </w:p>
        </w:tc>
      </w:tr>
      <w:tr w14:paraId="576C1698" w14:textId="77777777" w:rsidTr="0013696B">
        <w:tblPrEx>
          <w:tblW w:w="0" w:type="auto"/>
          <w:tblInd w:w="0" w:type="dxa"/>
          <w:tblCellMar>
            <w:top w:w="0" w:type="dxa"/>
            <w:left w:w="108" w:type="dxa"/>
            <w:bottom w:w="0" w:type="dxa"/>
            <w:right w:w="108" w:type="dxa"/>
          </w:tblCellMar>
          <w:tblLook w:val="04A0"/>
        </w:tblPrEx>
        <w:tc>
          <w:tcPr>
            <w:tcW w:w="4320" w:type="dxa"/>
          </w:tcPr>
          <w:p w:rsidR="0013696B" w14:paraId="45C41688" w14:textId="77777777">
            <w:pPr>
              <w:bidi w:val="0"/>
              <w:spacing w:after="0" w:line="240" w:lineRule="auto"/>
              <w:rPr>
                <w:rFonts w:ascii="Calibri" w:eastAsia="Calibri" w:hAnsi="Calibri" w:cstheme="minorBidi"/>
                <w:b/>
                <w:bCs/>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平均復旧時間 (MTTR)</w:t>
            </w:r>
          </w:p>
        </w:tc>
        <w:tc>
          <w:tcPr>
            <w:tcW w:w="4320" w:type="dxa"/>
          </w:tcPr>
          <w:p w:rsidR="0013696B" w14:paraId="0EA12744"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34 分</w:t>
            </w:r>
          </w:p>
        </w:tc>
      </w:tr>
      <w:tr w14:paraId="68927B92" w14:textId="77777777" w:rsidTr="0013696B">
        <w:tblPrEx>
          <w:tblW w:w="0" w:type="auto"/>
          <w:tblInd w:w="0" w:type="dxa"/>
          <w:tblCellMar>
            <w:top w:w="0" w:type="dxa"/>
            <w:left w:w="108" w:type="dxa"/>
            <w:bottom w:w="0" w:type="dxa"/>
            <w:right w:w="108" w:type="dxa"/>
          </w:tblCellMar>
          <w:tblLook w:val="04A0"/>
        </w:tblPrEx>
        <w:tc>
          <w:tcPr>
            <w:tcW w:w="4320" w:type="dxa"/>
            <w:tcBorders>
              <w:top w:val="single" w:sz="8" w:space="0" w:color="4F81BD" w:themeColor="accent1"/>
              <w:left w:val="single" w:sz="8" w:space="0" w:color="4F81BD" w:themeColor="accent1"/>
              <w:bottom w:val="single" w:sz="8" w:space="0" w:color="4F81BD" w:themeColor="accent1"/>
            </w:tcBorders>
          </w:tcPr>
          <w:p w:rsidR="0013696B" w14:paraId="68ABBC94" w14:textId="77777777">
            <w:pPr>
              <w:bidi w:val="0"/>
              <w:spacing w:after="0" w:line="240" w:lineRule="auto"/>
              <w:rPr>
                <w:rFonts w:ascii="Calibri" w:eastAsia="Calibri" w:hAnsi="Calibri" w:cstheme="minorBidi"/>
                <w:b/>
                <w:bCs/>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変更失敗率</w:t>
            </w:r>
          </w:p>
        </w:tc>
        <w:tc>
          <w:tcPr>
            <w:tcW w:w="4320" w:type="dxa"/>
            <w:tcBorders>
              <w:top w:val="single" w:sz="8" w:space="0" w:color="4F81BD" w:themeColor="accent1"/>
              <w:bottom w:val="single" w:sz="8" w:space="0" w:color="4F81BD" w:themeColor="accent1"/>
              <w:right w:val="single" w:sz="8" w:space="0" w:color="4F81BD" w:themeColor="accent1"/>
            </w:tcBorders>
          </w:tcPr>
          <w:p w:rsidR="0013696B" w14:paraId="1F6E612B"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2.1%</w:t>
            </w:r>
          </w:p>
        </w:tc>
      </w:tr>
      <w:tr w14:paraId="25A23308" w14:textId="77777777" w:rsidTr="0013696B">
        <w:tblPrEx>
          <w:tblW w:w="0" w:type="auto"/>
          <w:tblInd w:w="0" w:type="dxa"/>
          <w:tblCellMar>
            <w:top w:w="0" w:type="dxa"/>
            <w:left w:w="108" w:type="dxa"/>
            <w:bottom w:w="0" w:type="dxa"/>
            <w:right w:w="108" w:type="dxa"/>
          </w:tblCellMar>
          <w:tblLook w:val="04A0"/>
        </w:tblPrEx>
        <w:tc>
          <w:tcPr>
            <w:tcW w:w="4320" w:type="dxa"/>
          </w:tcPr>
          <w:p w:rsidR="0013696B" w14:paraId="569B7EC8" w14:textId="77777777">
            <w:pPr>
              <w:bidi w:val="0"/>
              <w:spacing w:after="0" w:line="240" w:lineRule="auto"/>
              <w:rPr>
                <w:rFonts w:ascii="Calibri" w:eastAsia="Calibri" w:hAnsi="Calibri" w:cstheme="minorBidi"/>
                <w:b/>
                <w:bCs/>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サポートの最初の応答 (分)</w:t>
            </w:r>
          </w:p>
        </w:tc>
        <w:tc>
          <w:tcPr>
            <w:tcW w:w="4320" w:type="dxa"/>
          </w:tcPr>
          <w:p w:rsidR="0013696B" w14:paraId="265BAA55"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19</w:t>
            </w:r>
          </w:p>
        </w:tc>
      </w:tr>
      <w:tr w14:paraId="2C5F2134" w14:textId="77777777" w:rsidTr="0013696B">
        <w:tblPrEx>
          <w:tblW w:w="0" w:type="auto"/>
          <w:tblInd w:w="0" w:type="dxa"/>
          <w:tblCellMar>
            <w:top w:w="0" w:type="dxa"/>
            <w:left w:w="108" w:type="dxa"/>
            <w:bottom w:w="0" w:type="dxa"/>
            <w:right w:w="108" w:type="dxa"/>
          </w:tblCellMar>
          <w:tblLook w:val="04A0"/>
        </w:tblPrEx>
        <w:tc>
          <w:tcPr>
            <w:tcW w:w="4320" w:type="dxa"/>
            <w:tcBorders>
              <w:top w:val="single" w:sz="8" w:space="0" w:color="4F81BD" w:themeColor="accent1"/>
              <w:left w:val="single" w:sz="8" w:space="0" w:color="4F81BD" w:themeColor="accent1"/>
              <w:bottom w:val="single" w:sz="8" w:space="0" w:color="4F81BD" w:themeColor="accent1"/>
            </w:tcBorders>
          </w:tcPr>
          <w:p w:rsidR="0013696B" w14:paraId="5A8C7D91" w14:textId="77777777">
            <w:pPr>
              <w:bidi w:val="0"/>
              <w:spacing w:after="0" w:line="240" w:lineRule="auto"/>
              <w:rPr>
                <w:rFonts w:ascii="Calibri" w:eastAsia="Calibri" w:hAnsi="Calibri" w:cstheme="minorBidi"/>
                <w:b/>
                <w:bCs/>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SLA アップタイム</w:t>
            </w:r>
          </w:p>
        </w:tc>
        <w:tc>
          <w:tcPr>
            <w:tcW w:w="4320" w:type="dxa"/>
            <w:tcBorders>
              <w:top w:val="single" w:sz="8" w:space="0" w:color="4F81BD" w:themeColor="accent1"/>
              <w:bottom w:val="single" w:sz="8" w:space="0" w:color="4F81BD" w:themeColor="accent1"/>
              <w:right w:val="single" w:sz="8" w:space="0" w:color="4F81BD" w:themeColor="accent1"/>
            </w:tcBorders>
          </w:tcPr>
          <w:p w:rsidR="0013696B" w14:paraId="5AB9FE56"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99.92%</w:t>
            </w:r>
          </w:p>
        </w:tc>
      </w:tr>
    </w:tbl>
    <w:p w:rsidR="0013696B" w14:paraId="58899A50" w14:textId="77777777"/>
    <w:p w:rsidR="0013696B" w14:paraId="31F1C169"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テクノロジ インフラストラクチャ:マルチクラウド (Azure、AWS)、Kubernetes ベースのマイクロサービス、データ プラットフォーム (Azure Synapse)、監視 (OpenTelemetry + 独自の Insight)、強力なサイバーセキュリティ態勢 (SOC 2 Type II、ISO 27001)。</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IP には、オーケストレーション ヒューリスティックとポリシー エンジンが含まれます。</w:t>
      </w:r>
    </w:p>
    <w:p w:rsidR="0013696B" w14:paraId="2295A486" w14:textId="1A04E0F0">
      <w:r>
        <w:rPr>
          <w:noProof/>
        </w:rPr>
        <w:drawing>
          <wp:inline distT="0" distB="0" distL="0" distR="0">
            <wp:extent cx="5486400" cy="1781810"/>
            <wp:effectExtent l="0" t="0" r="0" b="8890"/>
            <wp:docPr id="173690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03826" name="Picture 1736903826"/>
                    <pic:cNvPicPr/>
                  </pic:nvPicPr>
                  <pic:blipFill>
                    <a:blip xmlns:r="http://schemas.openxmlformats.org/officeDocument/2006/relationships" r:embed="rId7"/>
                    <a:stretch>
                      <a:fillRect/>
                    </a:stretch>
                  </pic:blipFill>
                  <pic:spPr>
                    <a:xfrm>
                      <a:off x="0" y="0"/>
                      <a:ext cx="5486400" cy="1781810"/>
                    </a:xfrm>
                    <a:prstGeom prst="rect">
                      <a:avLst/>
                    </a:prstGeom>
                  </pic:spPr>
                </pic:pic>
              </a:graphicData>
            </a:graphic>
          </wp:inline>
        </w:drawing>
      </w:r>
    </w:p>
    <w:p w:rsidR="0013696B" w14:paraId="61D5782D" w14:textId="77777777">
      <w:pPr>
        <w:pStyle w:val="Heading1"/>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 xml:space="preserve">6.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知的財産と製品のロードマップ</w:t>
      </w:r>
    </w:p>
    <w:tbl>
      <w:tblPr>
        <w:tblStyle w:val="LightListAccent1"/>
        <w:tblStyleRowBandSize w:val="1"/>
        <w:tblStyleColBandSize w:val="1"/>
        <w:tblW w:w="0" w:type="auto"/>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Look w:val="04A0"/>
      </w:tblPr>
      <w:tblGrid>
        <w:gridCol w:w="2880"/>
        <w:gridCol w:w="2880"/>
        <w:gridCol w:w="2880"/>
      </w:tblGrid>
      <w:tr w14:paraId="5F93475B" w14:textId="77777777" w:rsidTr="0013696B">
        <w:tblPrEx>
          <w:tblW w:w="0" w:type="auto"/>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Look w:val="04A0"/>
        </w:tblPrEx>
        <w:tc>
          <w:tcPr>
            <w:tcW w:w="2880" w:type="dxa"/>
            <w:shd w:val="clear" w:color="auto" w:fill="4F81BD" w:themeFill="accent1"/>
          </w:tcPr>
          <w:p w:rsidR="0013696B" w14:paraId="55704BD6" w14:textId="77777777">
            <w:pPr>
              <w:bidi w:val="0"/>
              <w:spacing w:before="0" w:after="0" w:line="240" w:lineRule="auto"/>
              <w:rPr>
                <w:rFonts w:ascii="Calibri" w:eastAsia="Calibri" w:hAnsi="Calibri" w:cstheme="minorBidi"/>
                <w:b/>
                <w:bCs/>
                <w:color w:val="FFFFFF" w:themeColor="background1"/>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FFFFFF"/>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資産</w:t>
            </w:r>
          </w:p>
        </w:tc>
        <w:tc>
          <w:tcPr>
            <w:tcW w:w="2880" w:type="dxa"/>
            <w:shd w:val="clear" w:color="auto" w:fill="4F81BD" w:themeFill="accent1"/>
          </w:tcPr>
          <w:p w:rsidR="0013696B" w14:paraId="501A2363" w14:textId="77777777">
            <w:pPr>
              <w:bidi w:val="0"/>
              <w:spacing w:before="0" w:after="0" w:line="240" w:lineRule="auto"/>
              <w:rPr>
                <w:rFonts w:ascii="Calibri" w:eastAsia="Calibri" w:hAnsi="Calibri" w:cstheme="minorBidi"/>
                <w:b/>
                <w:bCs/>
                <w:color w:val="FFFFFF" w:themeColor="background1"/>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FFFFFF"/>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Type</w:t>
            </w:r>
          </w:p>
        </w:tc>
        <w:tc>
          <w:tcPr>
            <w:tcW w:w="2880" w:type="dxa"/>
            <w:shd w:val="clear" w:color="auto" w:fill="4F81BD" w:themeFill="accent1"/>
          </w:tcPr>
          <w:p w:rsidR="0013696B" w14:paraId="15CC7438" w14:textId="77777777">
            <w:pPr>
              <w:bidi w:val="0"/>
              <w:spacing w:before="0" w:after="0" w:line="240" w:lineRule="auto"/>
              <w:rPr>
                <w:rFonts w:ascii="Calibri" w:eastAsia="Calibri" w:hAnsi="Calibri" w:cstheme="minorBidi"/>
                <w:b/>
                <w:bCs/>
                <w:color w:val="FFFFFF" w:themeColor="background1"/>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FFFFFF"/>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Status</w:t>
            </w:r>
          </w:p>
        </w:tc>
      </w:tr>
      <w:tr w14:paraId="749B31F7" w14:textId="77777777" w:rsidTr="0013696B">
        <w:tblPrEx>
          <w:tblW w:w="0" w:type="auto"/>
          <w:tblInd w:w="0" w:type="dxa"/>
          <w:tblCellMar>
            <w:top w:w="0" w:type="dxa"/>
            <w:left w:w="108" w:type="dxa"/>
            <w:bottom w:w="0" w:type="dxa"/>
            <w:right w:w="108" w:type="dxa"/>
          </w:tblCellMar>
          <w:tblLook w:val="04A0"/>
        </w:tblPrEx>
        <w:tc>
          <w:tcPr>
            <w:tcW w:w="2880" w:type="dxa"/>
            <w:tcBorders>
              <w:top w:val="single" w:sz="8" w:space="0" w:color="4F81BD" w:themeColor="accent1"/>
              <w:left w:val="single" w:sz="8" w:space="0" w:color="4F81BD" w:themeColor="accent1"/>
              <w:bottom w:val="single" w:sz="8" w:space="0" w:color="4F81BD" w:themeColor="accent1"/>
            </w:tcBorders>
          </w:tcPr>
          <w:p w:rsidR="0013696B" w14:paraId="3025650C" w14:textId="77777777">
            <w:pPr>
              <w:bidi w:val="0"/>
              <w:spacing w:after="0" w:line="240" w:lineRule="auto"/>
              <w:rPr>
                <w:rFonts w:ascii="Calibri" w:eastAsia="Calibri" w:hAnsi="Calibri" w:cstheme="minorBidi"/>
                <w:b/>
                <w:bCs/>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Adaptive Orchestration Engine</w:t>
            </w:r>
          </w:p>
        </w:tc>
        <w:tc>
          <w:tcPr>
            <w:tcW w:w="2880" w:type="dxa"/>
            <w:tcBorders>
              <w:top w:val="single" w:sz="8" w:space="0" w:color="4F81BD" w:themeColor="accent1"/>
              <w:bottom w:val="single" w:sz="8" w:space="0" w:color="4F81BD" w:themeColor="accent1"/>
            </w:tcBorders>
          </w:tcPr>
          <w:p w:rsidR="0013696B" w14:paraId="25A241EC"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専用ソフトウェア</w:t>
            </w:r>
          </w:p>
        </w:tc>
        <w:tc>
          <w:tcPr>
            <w:tcW w:w="2880" w:type="dxa"/>
            <w:tcBorders>
              <w:top w:val="single" w:sz="8" w:space="0" w:color="4F81BD" w:themeColor="accent1"/>
              <w:bottom w:val="single" w:sz="8" w:space="0" w:color="4F81BD" w:themeColor="accent1"/>
              <w:right w:val="single" w:sz="8" w:space="0" w:color="4F81BD" w:themeColor="accent1"/>
            </w:tcBorders>
          </w:tcPr>
          <w:p w:rsidR="0013696B" w14:paraId="5CC7B5ED"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著作権</w:t>
            </w:r>
          </w:p>
        </w:tc>
      </w:tr>
      <w:tr w14:paraId="2600DBDD" w14:textId="77777777" w:rsidTr="0013696B">
        <w:tblPrEx>
          <w:tblW w:w="0" w:type="auto"/>
          <w:tblInd w:w="0" w:type="dxa"/>
          <w:tblCellMar>
            <w:top w:w="0" w:type="dxa"/>
            <w:left w:w="108" w:type="dxa"/>
            <w:bottom w:w="0" w:type="dxa"/>
            <w:right w:w="108" w:type="dxa"/>
          </w:tblCellMar>
          <w:tblLook w:val="04A0"/>
        </w:tblPrEx>
        <w:tc>
          <w:tcPr>
            <w:tcW w:w="2880" w:type="dxa"/>
          </w:tcPr>
          <w:p w:rsidR="0013696B" w14:paraId="00D8CE04" w14:textId="77777777">
            <w:pPr>
              <w:bidi w:val="0"/>
              <w:spacing w:after="0" w:line="240" w:lineRule="auto"/>
              <w:rPr>
                <w:rFonts w:ascii="Calibri" w:eastAsia="Calibri" w:hAnsi="Calibri" w:cstheme="minorBidi"/>
                <w:b/>
                <w:bCs/>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Policy Graph Compiler</w:t>
            </w:r>
          </w:p>
        </w:tc>
        <w:tc>
          <w:tcPr>
            <w:tcW w:w="2880" w:type="dxa"/>
          </w:tcPr>
          <w:p w:rsidR="0013696B" w14:paraId="1864178B"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アルゴリズム + ソフトウェア</w:t>
            </w:r>
          </w:p>
        </w:tc>
        <w:tc>
          <w:tcPr>
            <w:tcW w:w="2880" w:type="dxa"/>
          </w:tcPr>
          <w:p w:rsidR="0013696B" w14:paraId="52E7E9CA"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特許申請済み (ヨーロッパ/米国)</w:t>
            </w:r>
          </w:p>
        </w:tc>
      </w:tr>
      <w:tr w14:paraId="5E670540" w14:textId="77777777" w:rsidTr="0013696B">
        <w:tblPrEx>
          <w:tblW w:w="0" w:type="auto"/>
          <w:tblInd w:w="0" w:type="dxa"/>
          <w:tblCellMar>
            <w:top w:w="0" w:type="dxa"/>
            <w:left w:w="108" w:type="dxa"/>
            <w:bottom w:w="0" w:type="dxa"/>
            <w:right w:w="108" w:type="dxa"/>
          </w:tblCellMar>
          <w:tblLook w:val="04A0"/>
        </w:tblPrEx>
        <w:tc>
          <w:tcPr>
            <w:tcW w:w="2880" w:type="dxa"/>
            <w:tcBorders>
              <w:top w:val="single" w:sz="8" w:space="0" w:color="4F81BD" w:themeColor="accent1"/>
              <w:left w:val="single" w:sz="8" w:space="0" w:color="4F81BD" w:themeColor="accent1"/>
              <w:bottom w:val="single" w:sz="8" w:space="0" w:color="4F81BD" w:themeColor="accent1"/>
            </w:tcBorders>
          </w:tcPr>
          <w:p w:rsidR="0013696B" w14:paraId="09FF779E" w14:textId="77777777">
            <w:pPr>
              <w:bidi w:val="0"/>
              <w:spacing w:after="0" w:line="240" w:lineRule="auto"/>
              <w:rPr>
                <w:rFonts w:ascii="Calibri" w:eastAsia="Calibri" w:hAnsi="Calibri" w:cstheme="minorBidi"/>
                <w:b/>
                <w:bCs/>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Edge Autonomy Module</w:t>
            </w:r>
          </w:p>
        </w:tc>
        <w:tc>
          <w:tcPr>
            <w:tcW w:w="2880" w:type="dxa"/>
            <w:tcBorders>
              <w:top w:val="single" w:sz="8" w:space="0" w:color="4F81BD" w:themeColor="accent1"/>
              <w:bottom w:val="single" w:sz="8" w:space="0" w:color="4F81BD" w:themeColor="accent1"/>
            </w:tcBorders>
          </w:tcPr>
          <w:p w:rsidR="0013696B" w14:paraId="289CA312"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ソフトウェア</w:t>
            </w:r>
          </w:p>
        </w:tc>
        <w:tc>
          <w:tcPr>
            <w:tcW w:w="2880" w:type="dxa"/>
            <w:tcBorders>
              <w:top w:val="single" w:sz="8" w:space="0" w:color="4F81BD" w:themeColor="accent1"/>
              <w:bottom w:val="single" w:sz="8" w:space="0" w:color="4F81BD" w:themeColor="accent1"/>
              <w:right w:val="single" w:sz="8" w:space="0" w:color="4F81BD" w:themeColor="accent1"/>
            </w:tcBorders>
          </w:tcPr>
          <w:p w:rsidR="0013696B" w14:paraId="1C28A5A2"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著作権</w:t>
            </w:r>
          </w:p>
        </w:tc>
      </w:tr>
      <w:tr w14:paraId="04EC4FF4" w14:textId="77777777" w:rsidTr="0013696B">
        <w:tblPrEx>
          <w:tblW w:w="0" w:type="auto"/>
          <w:tblInd w:w="0" w:type="dxa"/>
          <w:tblCellMar>
            <w:top w:w="0" w:type="dxa"/>
            <w:left w:w="108" w:type="dxa"/>
            <w:bottom w:w="0" w:type="dxa"/>
            <w:right w:w="108" w:type="dxa"/>
          </w:tblCellMar>
          <w:tblLook w:val="04A0"/>
        </w:tblPrEx>
        <w:tc>
          <w:tcPr>
            <w:tcW w:w="2880" w:type="dxa"/>
          </w:tcPr>
          <w:p w:rsidR="0013696B" w14:paraId="31415A71" w14:textId="77777777">
            <w:pPr>
              <w:bidi w:val="0"/>
              <w:spacing w:after="0" w:line="240" w:lineRule="auto"/>
              <w:rPr>
                <w:rFonts w:ascii="Calibri" w:eastAsia="Calibri" w:hAnsi="Calibri" w:cstheme="minorBidi"/>
                <w:b/>
                <w:bCs/>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Security Drift Analyzer</w:t>
            </w:r>
          </w:p>
        </w:tc>
        <w:tc>
          <w:tcPr>
            <w:tcW w:w="2880" w:type="dxa"/>
          </w:tcPr>
          <w:p w:rsidR="0013696B" w14:paraId="333773FF"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アルゴリズム</w:t>
            </w:r>
          </w:p>
        </w:tc>
        <w:tc>
          <w:tcPr>
            <w:tcW w:w="2880" w:type="dxa"/>
          </w:tcPr>
          <w:p w:rsidR="0013696B" w14:paraId="7169DA65"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特許申請済み (米国)</w:t>
            </w:r>
          </w:p>
        </w:tc>
      </w:tr>
    </w:tbl>
    <w:p w:rsidR="0013696B" w14:paraId="78C3EF78" w14:textId="77777777"/>
    <w:p w:rsidR="0013696B" w14:paraId="0FC6D8C4"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研究開発投資:2025 年の支出は 3,680 万ドル (収益の 11.3%) です。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対象領域:AIOps 修復、ID 対応ポリシー、医療/小売向けセクター パック。</w:t>
      </w:r>
    </w:p>
    <w:tbl>
      <w:tblPr>
        <w:tblStyle w:val="LightListAccent1"/>
        <w:tblStyleRowBandSize w:val="1"/>
        <w:tblStyleColBandSize w:val="1"/>
        <w:tblW w:w="0" w:type="auto"/>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Look w:val="04A0"/>
      </w:tblPr>
      <w:tblGrid>
        <w:gridCol w:w="2880"/>
        <w:gridCol w:w="2880"/>
        <w:gridCol w:w="2880"/>
      </w:tblGrid>
      <w:tr w14:paraId="4FE71B52" w14:textId="77777777" w:rsidTr="0013696B">
        <w:tblPrEx>
          <w:tblW w:w="0" w:type="auto"/>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Look w:val="04A0"/>
        </w:tblPrEx>
        <w:tc>
          <w:tcPr>
            <w:tcW w:w="2880" w:type="dxa"/>
            <w:shd w:val="clear" w:color="auto" w:fill="4F81BD" w:themeFill="accent1"/>
          </w:tcPr>
          <w:p w:rsidR="0013696B" w14:paraId="5A768894" w14:textId="77777777">
            <w:pPr>
              <w:bidi w:val="0"/>
              <w:spacing w:before="0" w:after="0" w:line="240" w:lineRule="auto"/>
              <w:rPr>
                <w:rFonts w:ascii="Calibri" w:eastAsia="Calibri" w:hAnsi="Calibri" w:cstheme="minorBidi"/>
                <w:b/>
                <w:bCs/>
                <w:color w:val="FFFFFF" w:themeColor="background1"/>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FFFFFF"/>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リリース</w:t>
            </w:r>
          </w:p>
        </w:tc>
        <w:tc>
          <w:tcPr>
            <w:tcW w:w="2880" w:type="dxa"/>
            <w:shd w:val="clear" w:color="auto" w:fill="4F81BD" w:themeFill="accent1"/>
          </w:tcPr>
          <w:p w:rsidR="0013696B" w14:paraId="10628A82" w14:textId="77777777">
            <w:pPr>
              <w:bidi w:val="0"/>
              <w:spacing w:before="0" w:after="0" w:line="240" w:lineRule="auto"/>
              <w:rPr>
                <w:rFonts w:ascii="Calibri" w:eastAsia="Calibri" w:hAnsi="Calibri" w:cstheme="minorBidi"/>
                <w:b/>
                <w:bCs/>
                <w:color w:val="FFFFFF" w:themeColor="background1"/>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FFFFFF"/>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四半期</w:t>
            </w:r>
          </w:p>
        </w:tc>
        <w:tc>
          <w:tcPr>
            <w:tcW w:w="2880" w:type="dxa"/>
            <w:shd w:val="clear" w:color="auto" w:fill="4F81BD" w:themeFill="accent1"/>
          </w:tcPr>
          <w:p w:rsidR="0013696B" w14:paraId="2F68508E" w14:textId="77777777">
            <w:pPr>
              <w:bidi w:val="0"/>
              <w:spacing w:before="0" w:after="0" w:line="240" w:lineRule="auto"/>
              <w:rPr>
                <w:rFonts w:ascii="Calibri" w:eastAsia="Calibri" w:hAnsi="Calibri" w:cstheme="minorBidi"/>
                <w:b/>
                <w:bCs/>
                <w:color w:val="FFFFFF" w:themeColor="background1"/>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FFFFFF"/>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概要</w:t>
            </w:r>
          </w:p>
        </w:tc>
      </w:tr>
      <w:tr w14:paraId="59C41593" w14:textId="77777777" w:rsidTr="0013696B">
        <w:tblPrEx>
          <w:tblW w:w="0" w:type="auto"/>
          <w:tblInd w:w="0" w:type="dxa"/>
          <w:tblCellMar>
            <w:top w:w="0" w:type="dxa"/>
            <w:left w:w="108" w:type="dxa"/>
            <w:bottom w:w="0" w:type="dxa"/>
            <w:right w:w="108" w:type="dxa"/>
          </w:tblCellMar>
          <w:tblLook w:val="04A0"/>
        </w:tblPrEx>
        <w:tc>
          <w:tcPr>
            <w:tcW w:w="2880" w:type="dxa"/>
            <w:tcBorders>
              <w:top w:val="single" w:sz="8" w:space="0" w:color="4F81BD" w:themeColor="accent1"/>
              <w:left w:val="single" w:sz="8" w:space="0" w:color="4F81BD" w:themeColor="accent1"/>
              <w:bottom w:val="single" w:sz="8" w:space="0" w:color="4F81BD" w:themeColor="accent1"/>
            </w:tcBorders>
          </w:tcPr>
          <w:p w:rsidR="0013696B" w14:paraId="700FFA6B" w14:textId="77777777">
            <w:pPr>
              <w:bidi w:val="0"/>
              <w:spacing w:after="0" w:line="240" w:lineRule="auto"/>
              <w:rPr>
                <w:rFonts w:ascii="Calibri" w:eastAsia="Calibri" w:hAnsi="Calibri" w:cstheme="minorBidi"/>
                <w:b/>
                <w:bCs/>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Insight 3.2</w:t>
            </w:r>
          </w:p>
        </w:tc>
        <w:tc>
          <w:tcPr>
            <w:tcW w:w="2880" w:type="dxa"/>
            <w:tcBorders>
              <w:top w:val="single" w:sz="8" w:space="0" w:color="4F81BD" w:themeColor="accent1"/>
              <w:bottom w:val="single" w:sz="8" w:space="0" w:color="4F81BD" w:themeColor="accent1"/>
            </w:tcBorders>
          </w:tcPr>
          <w:p w:rsidR="0013696B" w14:paraId="3006CEB6"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2026 年第 1 四半期</w:t>
            </w:r>
          </w:p>
        </w:tc>
        <w:tc>
          <w:tcPr>
            <w:tcW w:w="2880" w:type="dxa"/>
            <w:tcBorders>
              <w:top w:val="single" w:sz="8" w:space="0" w:color="4F81BD" w:themeColor="accent1"/>
              <w:bottom w:val="single" w:sz="8" w:space="0" w:color="4F81BD" w:themeColor="accent1"/>
              <w:right w:val="single" w:sz="8" w:space="0" w:color="4F81BD" w:themeColor="accent1"/>
            </w:tcBorders>
          </w:tcPr>
          <w:p w:rsidR="0013696B" w14:paraId="1034EF11"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異常の根本原因 ML</w:t>
            </w:r>
          </w:p>
        </w:tc>
      </w:tr>
      <w:tr w14:paraId="1FC9896E" w14:textId="77777777" w:rsidTr="0013696B">
        <w:tblPrEx>
          <w:tblW w:w="0" w:type="auto"/>
          <w:tblInd w:w="0" w:type="dxa"/>
          <w:tblCellMar>
            <w:top w:w="0" w:type="dxa"/>
            <w:left w:w="108" w:type="dxa"/>
            <w:bottom w:w="0" w:type="dxa"/>
            <w:right w:w="108" w:type="dxa"/>
          </w:tblCellMar>
          <w:tblLook w:val="04A0"/>
        </w:tblPrEx>
        <w:tc>
          <w:tcPr>
            <w:tcW w:w="2880" w:type="dxa"/>
          </w:tcPr>
          <w:p w:rsidR="0013696B" w14:paraId="527C7D4C" w14:textId="77777777">
            <w:pPr>
              <w:bidi w:val="0"/>
              <w:spacing w:after="0" w:line="240" w:lineRule="auto"/>
              <w:rPr>
                <w:rFonts w:ascii="Calibri" w:eastAsia="Calibri" w:hAnsi="Calibri" w:cstheme="minorBidi"/>
                <w:b/>
                <w:bCs/>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Secure 2.5</w:t>
            </w:r>
          </w:p>
        </w:tc>
        <w:tc>
          <w:tcPr>
            <w:tcW w:w="2880" w:type="dxa"/>
          </w:tcPr>
          <w:p w:rsidR="0013696B" w14:paraId="0CDF9EBC"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2026 年第 2 四半期</w:t>
            </w:r>
          </w:p>
        </w:tc>
        <w:tc>
          <w:tcPr>
            <w:tcW w:w="2880" w:type="dxa"/>
          </w:tcPr>
          <w:p w:rsidR="0013696B" w14:paraId="79D948C4"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コードとしてのポリシー テンプレート</w:t>
            </w:r>
          </w:p>
        </w:tc>
      </w:tr>
      <w:tr w14:paraId="43E609F9" w14:textId="77777777" w:rsidTr="0013696B">
        <w:tblPrEx>
          <w:tblW w:w="0" w:type="auto"/>
          <w:tblInd w:w="0" w:type="dxa"/>
          <w:tblCellMar>
            <w:top w:w="0" w:type="dxa"/>
            <w:left w:w="108" w:type="dxa"/>
            <w:bottom w:w="0" w:type="dxa"/>
            <w:right w:w="108" w:type="dxa"/>
          </w:tblCellMar>
          <w:tblLook w:val="04A0"/>
        </w:tblPrEx>
        <w:tc>
          <w:tcPr>
            <w:tcW w:w="2880" w:type="dxa"/>
            <w:tcBorders>
              <w:top w:val="single" w:sz="8" w:space="0" w:color="4F81BD" w:themeColor="accent1"/>
              <w:left w:val="single" w:sz="8" w:space="0" w:color="4F81BD" w:themeColor="accent1"/>
              <w:bottom w:val="single" w:sz="8" w:space="0" w:color="4F81BD" w:themeColor="accent1"/>
            </w:tcBorders>
          </w:tcPr>
          <w:p w:rsidR="0013696B" w14:paraId="11AA0F1D" w14:textId="77777777">
            <w:pPr>
              <w:bidi w:val="0"/>
              <w:spacing w:after="0" w:line="240" w:lineRule="auto"/>
              <w:rPr>
                <w:rFonts w:ascii="Calibri" w:eastAsia="Calibri" w:hAnsi="Calibri" w:cstheme="minorBidi"/>
                <w:b/>
                <w:bCs/>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Control 4.0</w:t>
            </w:r>
          </w:p>
        </w:tc>
        <w:tc>
          <w:tcPr>
            <w:tcW w:w="2880" w:type="dxa"/>
            <w:tcBorders>
              <w:top w:val="single" w:sz="8" w:space="0" w:color="4F81BD" w:themeColor="accent1"/>
              <w:bottom w:val="single" w:sz="8" w:space="0" w:color="4F81BD" w:themeColor="accent1"/>
            </w:tcBorders>
          </w:tcPr>
          <w:p w:rsidR="0013696B" w14:paraId="44129052"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2026 年第 2 四半期</w:t>
            </w:r>
          </w:p>
        </w:tc>
        <w:tc>
          <w:tcPr>
            <w:tcW w:w="2880" w:type="dxa"/>
            <w:tcBorders>
              <w:top w:val="single" w:sz="8" w:space="0" w:color="4F81BD" w:themeColor="accent1"/>
              <w:bottom w:val="single" w:sz="8" w:space="0" w:color="4F81BD" w:themeColor="accent1"/>
              <w:right w:val="single" w:sz="8" w:space="0" w:color="4F81BD" w:themeColor="accent1"/>
            </w:tcBorders>
          </w:tcPr>
          <w:p w:rsidR="0013696B" w14:paraId="173769E4"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ノー コードのワークフロー ビルダー</w:t>
            </w:r>
          </w:p>
        </w:tc>
      </w:tr>
      <w:tr w14:paraId="492202F6" w14:textId="77777777" w:rsidTr="0013696B">
        <w:tblPrEx>
          <w:tblW w:w="0" w:type="auto"/>
          <w:tblInd w:w="0" w:type="dxa"/>
          <w:tblCellMar>
            <w:top w:w="0" w:type="dxa"/>
            <w:left w:w="108" w:type="dxa"/>
            <w:bottom w:w="0" w:type="dxa"/>
            <w:right w:w="108" w:type="dxa"/>
          </w:tblCellMar>
          <w:tblLook w:val="04A0"/>
        </w:tblPrEx>
        <w:tc>
          <w:tcPr>
            <w:tcW w:w="2880" w:type="dxa"/>
          </w:tcPr>
          <w:p w:rsidR="0013696B" w14:paraId="6B196D7F" w14:textId="77777777">
            <w:pPr>
              <w:bidi w:val="0"/>
              <w:spacing w:after="0" w:line="240" w:lineRule="auto"/>
              <w:rPr>
                <w:rFonts w:ascii="Calibri" w:eastAsia="Calibri" w:hAnsi="Calibri" w:cstheme="minorBidi"/>
                <w:b/>
                <w:bCs/>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Edge 2.1</w:t>
            </w:r>
          </w:p>
        </w:tc>
        <w:tc>
          <w:tcPr>
            <w:tcW w:w="2880" w:type="dxa"/>
          </w:tcPr>
          <w:p w:rsidR="0013696B" w14:paraId="498A8B63"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2026 年第 3 四半期</w:t>
            </w:r>
          </w:p>
        </w:tc>
        <w:tc>
          <w:tcPr>
            <w:tcW w:w="2880" w:type="dxa"/>
          </w:tcPr>
          <w:p w:rsidR="0013696B" w14:paraId="63121E51"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オフライン デバイス オーケストレーション</w:t>
            </w:r>
          </w:p>
        </w:tc>
      </w:tr>
    </w:tbl>
    <w:p w:rsidR="0013696B" w14:paraId="38D862AC" w14:textId="77777777"/>
    <w:p w:rsidR="0013696B" w14:paraId="604E2903" w14:textId="77777777">
      <w:pPr>
        <w:pStyle w:val="Heading1"/>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 xml:space="preserve">7.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戦略的適合と相乗効果</w:t>
      </w:r>
    </w:p>
    <w:p w:rsidR="0013696B" w14:paraId="318851B3"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補完的な強み:Relecloud のオーケストレーションとセキュリティ スイートは、Fabrikam のデジタル製品ポートフォリオとエンタープライズ市場進出に適合しています。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フィンテックと小売の共有ターゲット アカウントで、クロスセルの速度が直ちに高まります。</w:t>
      </w:r>
    </w:p>
    <w:tbl>
      <w:tblPr>
        <w:tblStyle w:val="LightListAccent1"/>
        <w:tblStyleRowBandSize w:val="1"/>
        <w:tblStyleColBandSize w:val="1"/>
        <w:tblW w:w="0" w:type="auto"/>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Look w:val="04A0"/>
      </w:tblPr>
      <w:tblGrid>
        <w:gridCol w:w="2880"/>
        <w:gridCol w:w="2880"/>
        <w:gridCol w:w="2880"/>
      </w:tblGrid>
      <w:tr w14:paraId="5BC08875" w14:textId="77777777" w:rsidTr="0013696B">
        <w:tblPrEx>
          <w:tblW w:w="0" w:type="auto"/>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Look w:val="04A0"/>
        </w:tblPrEx>
        <w:tc>
          <w:tcPr>
            <w:tcW w:w="2880" w:type="dxa"/>
            <w:shd w:val="clear" w:color="auto" w:fill="4F81BD" w:themeFill="accent1"/>
          </w:tcPr>
          <w:p w:rsidR="0013696B" w14:paraId="55B3124C" w14:textId="77777777">
            <w:pPr>
              <w:bidi w:val="0"/>
              <w:spacing w:before="0" w:after="0" w:line="240" w:lineRule="auto"/>
              <w:rPr>
                <w:rFonts w:ascii="Calibri" w:eastAsia="Calibri" w:hAnsi="Calibri" w:cstheme="minorBidi"/>
                <w:b/>
                <w:bCs/>
                <w:color w:val="FFFFFF" w:themeColor="background1"/>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FFFFFF"/>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相乗領域</w:t>
            </w:r>
          </w:p>
        </w:tc>
        <w:tc>
          <w:tcPr>
            <w:tcW w:w="2880" w:type="dxa"/>
            <w:shd w:val="clear" w:color="auto" w:fill="4F81BD" w:themeFill="accent1"/>
          </w:tcPr>
          <w:p w:rsidR="0013696B" w14:paraId="51D1D862" w14:textId="77777777">
            <w:pPr>
              <w:bidi w:val="0"/>
              <w:spacing w:before="0" w:after="0" w:line="240" w:lineRule="auto"/>
              <w:rPr>
                <w:rFonts w:ascii="Calibri" w:eastAsia="Calibri" w:hAnsi="Calibri" w:cstheme="minorBidi"/>
                <w:b/>
                <w:bCs/>
                <w:color w:val="FFFFFF" w:themeColor="background1"/>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FFFFFF"/>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予測</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FFFFFF"/>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FFFFFF"/>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年間利益 (USD、百万)</w:t>
            </w:r>
          </w:p>
        </w:tc>
        <w:tc>
          <w:tcPr>
            <w:tcW w:w="2880" w:type="dxa"/>
            <w:shd w:val="clear" w:color="auto" w:fill="4F81BD" w:themeFill="accent1"/>
          </w:tcPr>
          <w:p w:rsidR="0013696B" w14:paraId="7A66FB38" w14:textId="77777777">
            <w:pPr>
              <w:bidi w:val="0"/>
              <w:spacing w:before="0" w:after="0" w:line="240" w:lineRule="auto"/>
              <w:rPr>
                <w:rFonts w:ascii="Calibri" w:eastAsia="Calibri" w:hAnsi="Calibri" w:cstheme="minorBidi"/>
                <w:b/>
                <w:bCs/>
                <w:color w:val="FFFFFF" w:themeColor="background1"/>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FFFFFF"/>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タイミング</w:t>
            </w:r>
          </w:p>
        </w:tc>
      </w:tr>
      <w:tr w14:paraId="09B9E597" w14:textId="77777777" w:rsidTr="0013696B">
        <w:tblPrEx>
          <w:tblW w:w="0" w:type="auto"/>
          <w:tblInd w:w="0" w:type="dxa"/>
          <w:tblCellMar>
            <w:top w:w="0" w:type="dxa"/>
            <w:left w:w="108" w:type="dxa"/>
            <w:bottom w:w="0" w:type="dxa"/>
            <w:right w:w="108" w:type="dxa"/>
          </w:tblCellMar>
          <w:tblLook w:val="04A0"/>
        </w:tblPrEx>
        <w:tc>
          <w:tcPr>
            <w:tcW w:w="2880" w:type="dxa"/>
            <w:tcBorders>
              <w:top w:val="single" w:sz="8" w:space="0" w:color="4F81BD" w:themeColor="accent1"/>
              <w:left w:val="single" w:sz="8" w:space="0" w:color="4F81BD" w:themeColor="accent1"/>
              <w:bottom w:val="single" w:sz="8" w:space="0" w:color="4F81BD" w:themeColor="accent1"/>
            </w:tcBorders>
          </w:tcPr>
          <w:p w:rsidR="0013696B" w14:paraId="043FC6C0" w14:textId="77777777">
            <w:pPr>
              <w:bidi w:val="0"/>
              <w:spacing w:after="0" w:line="240" w:lineRule="auto"/>
              <w:rPr>
                <w:rFonts w:ascii="Calibri" w:eastAsia="Calibri" w:hAnsi="Calibri" w:cstheme="minorBidi"/>
                <w:b/>
                <w:bCs/>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売上クロスセル</w:t>
            </w:r>
          </w:p>
        </w:tc>
        <w:tc>
          <w:tcPr>
            <w:tcW w:w="2880" w:type="dxa"/>
            <w:tcBorders>
              <w:top w:val="single" w:sz="8" w:space="0" w:color="4F81BD" w:themeColor="accent1"/>
              <w:bottom w:val="single" w:sz="8" w:space="0" w:color="4F81BD" w:themeColor="accent1"/>
            </w:tcBorders>
          </w:tcPr>
          <w:p w:rsidR="0013696B" w14:paraId="1DB869DA"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22 から 28</w:t>
            </w:r>
          </w:p>
        </w:tc>
        <w:tc>
          <w:tcPr>
            <w:tcW w:w="2880" w:type="dxa"/>
            <w:tcBorders>
              <w:top w:val="single" w:sz="8" w:space="0" w:color="4F81BD" w:themeColor="accent1"/>
              <w:bottom w:val="single" w:sz="8" w:space="0" w:color="4F81BD" w:themeColor="accent1"/>
              <w:right w:val="single" w:sz="8" w:space="0" w:color="4F81BD" w:themeColor="accent1"/>
            </w:tcBorders>
          </w:tcPr>
          <w:p w:rsidR="0013696B" w14:paraId="46C18937"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12 から 24 か月</w:t>
            </w:r>
          </w:p>
        </w:tc>
      </w:tr>
      <w:tr w14:paraId="13AC8265" w14:textId="77777777" w:rsidTr="0013696B">
        <w:tblPrEx>
          <w:tblW w:w="0" w:type="auto"/>
          <w:tblInd w:w="0" w:type="dxa"/>
          <w:tblCellMar>
            <w:top w:w="0" w:type="dxa"/>
            <w:left w:w="108" w:type="dxa"/>
            <w:bottom w:w="0" w:type="dxa"/>
            <w:right w:w="108" w:type="dxa"/>
          </w:tblCellMar>
          <w:tblLook w:val="04A0"/>
        </w:tblPrEx>
        <w:tc>
          <w:tcPr>
            <w:tcW w:w="2880" w:type="dxa"/>
          </w:tcPr>
          <w:p w:rsidR="0013696B" w14:paraId="3BA986D5" w14:textId="77777777">
            <w:pPr>
              <w:bidi w:val="0"/>
              <w:spacing w:after="0" w:line="240" w:lineRule="auto"/>
              <w:rPr>
                <w:rFonts w:ascii="Calibri" w:eastAsia="Calibri" w:hAnsi="Calibri" w:cstheme="minorBidi"/>
                <w:b/>
                <w:bCs/>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エンタープライズ レベルへのアップセル</w:t>
            </w:r>
          </w:p>
        </w:tc>
        <w:tc>
          <w:tcPr>
            <w:tcW w:w="2880" w:type="dxa"/>
          </w:tcPr>
          <w:p w:rsidR="0013696B" w14:paraId="71A65CF6"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8 から 12</w:t>
            </w:r>
          </w:p>
        </w:tc>
        <w:tc>
          <w:tcPr>
            <w:tcW w:w="2880" w:type="dxa"/>
          </w:tcPr>
          <w:p w:rsidR="0013696B" w14:paraId="1649436E"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6 から 12 か月</w:t>
            </w:r>
          </w:p>
        </w:tc>
      </w:tr>
      <w:tr w14:paraId="3A57B236" w14:textId="77777777" w:rsidTr="0013696B">
        <w:tblPrEx>
          <w:tblW w:w="0" w:type="auto"/>
          <w:tblInd w:w="0" w:type="dxa"/>
          <w:tblCellMar>
            <w:top w:w="0" w:type="dxa"/>
            <w:left w:w="108" w:type="dxa"/>
            <w:bottom w:w="0" w:type="dxa"/>
            <w:right w:w="108" w:type="dxa"/>
          </w:tblCellMar>
          <w:tblLook w:val="04A0"/>
        </w:tblPrEx>
        <w:tc>
          <w:tcPr>
            <w:tcW w:w="2880" w:type="dxa"/>
            <w:tcBorders>
              <w:top w:val="single" w:sz="8" w:space="0" w:color="4F81BD" w:themeColor="accent1"/>
              <w:left w:val="single" w:sz="8" w:space="0" w:color="4F81BD" w:themeColor="accent1"/>
              <w:bottom w:val="single" w:sz="8" w:space="0" w:color="4F81BD" w:themeColor="accent1"/>
            </w:tcBorders>
          </w:tcPr>
          <w:p w:rsidR="0013696B" w14:paraId="5C130F57" w14:textId="77777777">
            <w:pPr>
              <w:bidi w:val="0"/>
              <w:spacing w:after="0" w:line="240" w:lineRule="auto"/>
              <w:rPr>
                <w:rFonts w:ascii="Calibri" w:eastAsia="Calibri" w:hAnsi="Calibri" w:cstheme="minorBidi"/>
                <w:b/>
                <w:bCs/>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サービスの統合</w:t>
            </w:r>
          </w:p>
        </w:tc>
        <w:tc>
          <w:tcPr>
            <w:tcW w:w="2880" w:type="dxa"/>
            <w:tcBorders>
              <w:top w:val="single" w:sz="8" w:space="0" w:color="4F81BD" w:themeColor="accent1"/>
              <w:bottom w:val="single" w:sz="8" w:space="0" w:color="4F81BD" w:themeColor="accent1"/>
            </w:tcBorders>
          </w:tcPr>
          <w:p w:rsidR="0013696B" w14:paraId="624074B7"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6 から 9</w:t>
            </w:r>
          </w:p>
        </w:tc>
        <w:tc>
          <w:tcPr>
            <w:tcW w:w="2880" w:type="dxa"/>
            <w:tcBorders>
              <w:top w:val="single" w:sz="8" w:space="0" w:color="4F81BD" w:themeColor="accent1"/>
              <w:bottom w:val="single" w:sz="8" w:space="0" w:color="4F81BD" w:themeColor="accent1"/>
              <w:right w:val="single" w:sz="8" w:space="0" w:color="4F81BD" w:themeColor="accent1"/>
            </w:tcBorders>
          </w:tcPr>
          <w:p w:rsidR="0013696B" w14:paraId="5DCA70D6"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6 から 12 か月</w:t>
            </w:r>
          </w:p>
        </w:tc>
      </w:tr>
      <w:tr w14:paraId="085157C8" w14:textId="77777777" w:rsidTr="0013696B">
        <w:tblPrEx>
          <w:tblW w:w="0" w:type="auto"/>
          <w:tblInd w:w="0" w:type="dxa"/>
          <w:tblCellMar>
            <w:top w:w="0" w:type="dxa"/>
            <w:left w:w="108" w:type="dxa"/>
            <w:bottom w:w="0" w:type="dxa"/>
            <w:right w:w="108" w:type="dxa"/>
          </w:tblCellMar>
          <w:tblLook w:val="04A0"/>
        </w:tblPrEx>
        <w:tc>
          <w:tcPr>
            <w:tcW w:w="2880" w:type="dxa"/>
          </w:tcPr>
          <w:p w:rsidR="0013696B" w14:paraId="515C8DBE" w14:textId="77777777">
            <w:pPr>
              <w:bidi w:val="0"/>
              <w:spacing w:after="0" w:line="240" w:lineRule="auto"/>
              <w:rPr>
                <w:rFonts w:ascii="Calibri" w:eastAsia="Calibri" w:hAnsi="Calibri" w:cstheme="minorBidi"/>
                <w:b/>
                <w:bCs/>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クラウド インフラストラクチャのコスト最適化</w:t>
            </w:r>
          </w:p>
        </w:tc>
        <w:tc>
          <w:tcPr>
            <w:tcW w:w="2880" w:type="dxa"/>
          </w:tcPr>
          <w:p w:rsidR="0013696B" w14:paraId="66B6A0D7"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4 から 6</w:t>
            </w:r>
          </w:p>
        </w:tc>
        <w:tc>
          <w:tcPr>
            <w:tcW w:w="2880" w:type="dxa"/>
          </w:tcPr>
          <w:p w:rsidR="0013696B" w14:paraId="07454AC0"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9 から 18 か月</w:t>
            </w:r>
          </w:p>
        </w:tc>
      </w:tr>
      <w:tr w14:paraId="69CD6C13" w14:textId="77777777" w:rsidTr="0013696B">
        <w:tblPrEx>
          <w:tblW w:w="0" w:type="auto"/>
          <w:tblInd w:w="0" w:type="dxa"/>
          <w:tblCellMar>
            <w:top w:w="0" w:type="dxa"/>
            <w:left w:w="108" w:type="dxa"/>
            <w:bottom w:w="0" w:type="dxa"/>
            <w:right w:w="108" w:type="dxa"/>
          </w:tblCellMar>
          <w:tblLook w:val="04A0"/>
        </w:tblPrEx>
        <w:tc>
          <w:tcPr>
            <w:tcW w:w="2880" w:type="dxa"/>
            <w:tcBorders>
              <w:top w:val="single" w:sz="8" w:space="0" w:color="4F81BD" w:themeColor="accent1"/>
              <w:left w:val="single" w:sz="8" w:space="0" w:color="4F81BD" w:themeColor="accent1"/>
              <w:bottom w:val="single" w:sz="8" w:space="0" w:color="4F81BD" w:themeColor="accent1"/>
            </w:tcBorders>
          </w:tcPr>
          <w:p w:rsidR="0013696B" w14:paraId="33A157B1" w14:textId="77777777">
            <w:pPr>
              <w:bidi w:val="0"/>
              <w:spacing w:after="0" w:line="240" w:lineRule="auto"/>
              <w:rPr>
                <w:rFonts w:ascii="Calibri" w:eastAsia="Calibri" w:hAnsi="Calibri" w:cstheme="minorBidi"/>
                <w:b/>
                <w:bCs/>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間接費の重複削減</w:t>
            </w:r>
          </w:p>
        </w:tc>
        <w:tc>
          <w:tcPr>
            <w:tcW w:w="2880" w:type="dxa"/>
            <w:tcBorders>
              <w:top w:val="single" w:sz="8" w:space="0" w:color="4F81BD" w:themeColor="accent1"/>
              <w:bottom w:val="single" w:sz="8" w:space="0" w:color="4F81BD" w:themeColor="accent1"/>
            </w:tcBorders>
          </w:tcPr>
          <w:p w:rsidR="0013696B" w14:paraId="4FADF871"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3 から 4</w:t>
            </w:r>
          </w:p>
        </w:tc>
        <w:tc>
          <w:tcPr>
            <w:tcW w:w="2880" w:type="dxa"/>
            <w:tcBorders>
              <w:top w:val="single" w:sz="8" w:space="0" w:color="4F81BD" w:themeColor="accent1"/>
              <w:bottom w:val="single" w:sz="8" w:space="0" w:color="4F81BD" w:themeColor="accent1"/>
              <w:right w:val="single" w:sz="8" w:space="0" w:color="4F81BD" w:themeColor="accent1"/>
            </w:tcBorders>
          </w:tcPr>
          <w:p w:rsidR="0013696B" w14:paraId="6020EA67"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6 から 12 か月</w:t>
            </w:r>
          </w:p>
        </w:tc>
      </w:tr>
    </w:tbl>
    <w:p w:rsidR="0013696B" w14:paraId="08B7FC02" w14:textId="77777777"/>
    <w:p w:rsidR="0013696B" w14:paraId="154B89CF" w14:textId="77777777">
      <w:pPr>
        <w:pStyle w:val="Heading1"/>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 xml:space="preserve">8.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リスクと課題</w:t>
      </w:r>
    </w:p>
    <w:tbl>
      <w:tblPr>
        <w:tblStyle w:val="LightListAccent1"/>
        <w:tblStyleRowBandSize w:val="1"/>
        <w:tblStyleColBandSize w:val="1"/>
        <w:tblW w:w="0" w:type="auto"/>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Look w:val="04A0"/>
      </w:tblPr>
      <w:tblGrid>
        <w:gridCol w:w="2880"/>
        <w:gridCol w:w="2880"/>
        <w:gridCol w:w="2880"/>
      </w:tblGrid>
      <w:tr w14:paraId="14CFC559" w14:textId="77777777" w:rsidTr="0013696B">
        <w:tblPrEx>
          <w:tblW w:w="0" w:type="auto"/>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Look w:val="04A0"/>
        </w:tblPrEx>
        <w:tc>
          <w:tcPr>
            <w:tcW w:w="2880" w:type="dxa"/>
            <w:shd w:val="clear" w:color="auto" w:fill="4F81BD" w:themeFill="accent1"/>
          </w:tcPr>
          <w:p w:rsidR="0013696B" w14:paraId="0DF27CB4" w14:textId="77777777">
            <w:pPr>
              <w:bidi w:val="0"/>
              <w:spacing w:before="0" w:after="0" w:line="240" w:lineRule="auto"/>
              <w:rPr>
                <w:rFonts w:ascii="Calibri" w:eastAsia="Calibri" w:hAnsi="Calibri" w:cstheme="minorBidi"/>
                <w:b/>
                <w:bCs/>
                <w:color w:val="FFFFFF" w:themeColor="background1"/>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FFFFFF"/>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リスク カテゴリ</w:t>
            </w:r>
          </w:p>
        </w:tc>
        <w:tc>
          <w:tcPr>
            <w:tcW w:w="2880" w:type="dxa"/>
            <w:shd w:val="clear" w:color="auto" w:fill="4F81BD" w:themeFill="accent1"/>
          </w:tcPr>
          <w:p w:rsidR="0013696B" w14:paraId="2AA6C934" w14:textId="77777777">
            <w:pPr>
              <w:bidi w:val="0"/>
              <w:spacing w:before="0" w:after="0" w:line="240" w:lineRule="auto"/>
              <w:rPr>
                <w:rFonts w:ascii="Calibri" w:eastAsia="Calibri" w:hAnsi="Calibri" w:cstheme="minorBidi"/>
                <w:b/>
                <w:bCs/>
                <w:color w:val="FFFFFF" w:themeColor="background1"/>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FFFFFF"/>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説明</w:t>
            </w:r>
          </w:p>
        </w:tc>
        <w:tc>
          <w:tcPr>
            <w:tcW w:w="2880" w:type="dxa"/>
            <w:shd w:val="clear" w:color="auto" w:fill="4F81BD" w:themeFill="accent1"/>
          </w:tcPr>
          <w:p w:rsidR="0013696B" w14:paraId="5B819220" w14:textId="77777777">
            <w:pPr>
              <w:bidi w:val="0"/>
              <w:spacing w:before="0" w:after="0" w:line="240" w:lineRule="auto"/>
              <w:rPr>
                <w:rFonts w:ascii="Calibri" w:eastAsia="Calibri" w:hAnsi="Calibri" w:cstheme="minorBidi"/>
                <w:b/>
                <w:bCs/>
                <w:color w:val="FFFFFF" w:themeColor="background1"/>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FFFFFF"/>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軽減策</w:t>
            </w:r>
          </w:p>
        </w:tc>
      </w:tr>
      <w:tr w14:paraId="0F512E98" w14:textId="77777777" w:rsidTr="0013696B">
        <w:tblPrEx>
          <w:tblW w:w="0" w:type="auto"/>
          <w:tblInd w:w="0" w:type="dxa"/>
          <w:tblCellMar>
            <w:top w:w="0" w:type="dxa"/>
            <w:left w:w="108" w:type="dxa"/>
            <w:bottom w:w="0" w:type="dxa"/>
            <w:right w:w="108" w:type="dxa"/>
          </w:tblCellMar>
          <w:tblLook w:val="04A0"/>
        </w:tblPrEx>
        <w:tc>
          <w:tcPr>
            <w:tcW w:w="2880" w:type="dxa"/>
            <w:tcBorders>
              <w:top w:val="single" w:sz="8" w:space="0" w:color="4F81BD" w:themeColor="accent1"/>
              <w:left w:val="single" w:sz="8" w:space="0" w:color="4F81BD" w:themeColor="accent1"/>
              <w:bottom w:val="single" w:sz="8" w:space="0" w:color="4F81BD" w:themeColor="accent1"/>
            </w:tcBorders>
          </w:tcPr>
          <w:p w:rsidR="0013696B" w14:paraId="01D29425" w14:textId="77777777">
            <w:pPr>
              <w:bidi w:val="0"/>
              <w:spacing w:after="0" w:line="240" w:lineRule="auto"/>
              <w:rPr>
                <w:rFonts w:ascii="Calibri" w:eastAsia="Calibri" w:hAnsi="Calibri" w:cstheme="minorBidi"/>
                <w:b/>
                <w:bCs/>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財務</w:t>
            </w:r>
          </w:p>
        </w:tc>
        <w:tc>
          <w:tcPr>
            <w:tcW w:w="2880" w:type="dxa"/>
            <w:tcBorders>
              <w:top w:val="single" w:sz="8" w:space="0" w:color="4F81BD" w:themeColor="accent1"/>
              <w:bottom w:val="single" w:sz="8" w:space="0" w:color="4F81BD" w:themeColor="accent1"/>
            </w:tcBorders>
          </w:tcPr>
          <w:p w:rsidR="0013696B" w14:paraId="0689F463"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収益集中 (上位 10 社 = 31%)。企業間交渉における価格圧力。</w:t>
            </w:r>
          </w:p>
        </w:tc>
        <w:tc>
          <w:tcPr>
            <w:tcW w:w="2880" w:type="dxa"/>
            <w:tcBorders>
              <w:top w:val="single" w:sz="8" w:space="0" w:color="4F81BD" w:themeColor="accent1"/>
              <w:bottom w:val="single" w:sz="8" w:space="0" w:color="4F81BD" w:themeColor="accent1"/>
              <w:right w:val="single" w:sz="8" w:space="0" w:color="4F81BD" w:themeColor="accent1"/>
            </w:tcBorders>
          </w:tcPr>
          <w:p w:rsidR="0013696B" w14:paraId="75711C22"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セクターを分散させ、最低価格により複数年契約。</w:t>
            </w:r>
          </w:p>
        </w:tc>
      </w:tr>
      <w:tr w14:paraId="1B73D0EC" w14:textId="77777777" w:rsidTr="0013696B">
        <w:tblPrEx>
          <w:tblW w:w="0" w:type="auto"/>
          <w:tblInd w:w="0" w:type="dxa"/>
          <w:tblCellMar>
            <w:top w:w="0" w:type="dxa"/>
            <w:left w:w="108" w:type="dxa"/>
            <w:bottom w:w="0" w:type="dxa"/>
            <w:right w:w="108" w:type="dxa"/>
          </w:tblCellMar>
          <w:tblLook w:val="04A0"/>
        </w:tblPrEx>
        <w:tc>
          <w:tcPr>
            <w:tcW w:w="2880" w:type="dxa"/>
          </w:tcPr>
          <w:p w:rsidR="0013696B" w14:paraId="3875374A" w14:textId="77777777">
            <w:pPr>
              <w:bidi w:val="0"/>
              <w:spacing w:after="0" w:line="240" w:lineRule="auto"/>
              <w:rPr>
                <w:rFonts w:ascii="Calibri" w:eastAsia="Calibri" w:hAnsi="Calibri" w:cstheme="minorBidi"/>
                <w:b/>
                <w:bCs/>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操作性</w:t>
            </w:r>
          </w:p>
        </w:tc>
        <w:tc>
          <w:tcPr>
            <w:tcW w:w="2880" w:type="dxa"/>
          </w:tcPr>
          <w:p w:rsidR="0013696B" w14:paraId="03D6E2F6"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エンジニアリングの雇用拡大。シニア アーキテクトへの依存、インシデントの対応能力。</w:t>
            </w:r>
          </w:p>
        </w:tc>
        <w:tc>
          <w:tcPr>
            <w:tcW w:w="2880" w:type="dxa"/>
          </w:tcPr>
          <w:p w:rsidR="0013696B" w14:paraId="65CD9902"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後継者育成計画、SRE 拡張、オンコール ローテーションの自動化。</w:t>
            </w:r>
          </w:p>
        </w:tc>
      </w:tr>
      <w:tr w14:paraId="4DF78B3D" w14:textId="77777777" w:rsidTr="0013696B">
        <w:tblPrEx>
          <w:tblW w:w="0" w:type="auto"/>
          <w:tblInd w:w="0" w:type="dxa"/>
          <w:tblCellMar>
            <w:top w:w="0" w:type="dxa"/>
            <w:left w:w="108" w:type="dxa"/>
            <w:bottom w:w="0" w:type="dxa"/>
            <w:right w:w="108" w:type="dxa"/>
          </w:tblCellMar>
          <w:tblLook w:val="04A0"/>
        </w:tblPrEx>
        <w:tc>
          <w:tcPr>
            <w:tcW w:w="2880" w:type="dxa"/>
            <w:tcBorders>
              <w:top w:val="single" w:sz="8" w:space="0" w:color="4F81BD" w:themeColor="accent1"/>
              <w:left w:val="single" w:sz="8" w:space="0" w:color="4F81BD" w:themeColor="accent1"/>
              <w:bottom w:val="single" w:sz="8" w:space="0" w:color="4F81BD" w:themeColor="accent1"/>
            </w:tcBorders>
          </w:tcPr>
          <w:p w:rsidR="0013696B" w14:paraId="4522B67D" w14:textId="77777777">
            <w:pPr>
              <w:bidi w:val="0"/>
              <w:spacing w:after="0" w:line="240" w:lineRule="auto"/>
              <w:rPr>
                <w:rFonts w:ascii="Calibri" w:eastAsia="Calibri" w:hAnsi="Calibri" w:cstheme="minorBidi"/>
                <w:b/>
                <w:bCs/>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市場</w:t>
            </w:r>
          </w:p>
        </w:tc>
        <w:tc>
          <w:tcPr>
            <w:tcW w:w="2880" w:type="dxa"/>
            <w:tcBorders>
              <w:top w:val="single" w:sz="8" w:space="0" w:color="4F81BD" w:themeColor="accent1"/>
              <w:bottom w:val="single" w:sz="8" w:space="0" w:color="4F81BD" w:themeColor="accent1"/>
            </w:tcBorders>
          </w:tcPr>
          <w:p w:rsidR="0013696B" w14:paraId="5FBFC18F"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ハイパースケーラーネイティブツールの競争、機能パリティにおける軍拡競争。</w:t>
            </w:r>
          </w:p>
        </w:tc>
        <w:tc>
          <w:tcPr>
            <w:tcW w:w="2880" w:type="dxa"/>
            <w:tcBorders>
              <w:top w:val="single" w:sz="8" w:space="0" w:color="4F81BD" w:themeColor="accent1"/>
              <w:bottom w:val="single" w:sz="8" w:space="0" w:color="4F81BD" w:themeColor="accent1"/>
              <w:right w:val="single" w:sz="8" w:space="0" w:color="4F81BD" w:themeColor="accent1"/>
            </w:tcBorders>
          </w:tcPr>
          <w:p w:rsidR="0013696B" w14:paraId="5A717738"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統合プラットフォーム、成果 SLA による差別化。</w:t>
            </w:r>
          </w:p>
        </w:tc>
      </w:tr>
      <w:tr w14:paraId="3BEAE6FF" w14:textId="77777777" w:rsidTr="0013696B">
        <w:tblPrEx>
          <w:tblW w:w="0" w:type="auto"/>
          <w:tblInd w:w="0" w:type="dxa"/>
          <w:tblCellMar>
            <w:top w:w="0" w:type="dxa"/>
            <w:left w:w="108" w:type="dxa"/>
            <w:bottom w:w="0" w:type="dxa"/>
            <w:right w:w="108" w:type="dxa"/>
          </w:tblCellMar>
          <w:tblLook w:val="04A0"/>
        </w:tblPrEx>
        <w:tc>
          <w:tcPr>
            <w:tcW w:w="2880" w:type="dxa"/>
          </w:tcPr>
          <w:p w:rsidR="0013696B" w14:paraId="2CA59294" w14:textId="77777777">
            <w:pPr>
              <w:bidi w:val="0"/>
              <w:spacing w:after="0" w:line="240" w:lineRule="auto"/>
              <w:rPr>
                <w:rFonts w:ascii="Calibri" w:eastAsia="Calibri" w:hAnsi="Calibri" w:cstheme="minorBidi"/>
                <w:b/>
                <w:bCs/>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規制/法的事項</w:t>
            </w:r>
          </w:p>
        </w:tc>
        <w:tc>
          <w:tcPr>
            <w:tcW w:w="2880" w:type="dxa"/>
          </w:tcPr>
          <w:p w:rsidR="0013696B" w14:paraId="66F5156D"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データ主権規則 (ヨーロッパ/英国)。進化する AI 規制。IP 訴訟のリスク。</w:t>
            </w:r>
          </w:p>
        </w:tc>
        <w:tc>
          <w:tcPr>
            <w:tcW w:w="2880" w:type="dxa"/>
          </w:tcPr>
          <w:p w:rsidR="0013696B" w14:paraId="6343D262"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地域的なデータ管理、法的準備、特許戦略。</w:t>
            </w:r>
          </w:p>
        </w:tc>
      </w:tr>
    </w:tbl>
    <w:p w:rsidR="0013696B" w14:paraId="3DACA5F8" w14:textId="77777777"/>
    <w:p w:rsidR="0013696B" w14:paraId="2367F310" w14:textId="77777777">
      <w:pPr>
        <w:pStyle w:val="Heading1"/>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 xml:space="preserve">9.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今後の展望</w:t>
      </w:r>
    </w:p>
    <w:tbl>
      <w:tblPr>
        <w:tblStyle w:val="LightListAccent1"/>
        <w:tblStyleRowBandSize w:val="1"/>
        <w:tblStyleColBandSize w:val="1"/>
        <w:tblW w:w="0" w:type="auto"/>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Look w:val="04A0"/>
      </w:tblPr>
      <w:tblGrid>
        <w:gridCol w:w="2880"/>
        <w:gridCol w:w="2880"/>
        <w:gridCol w:w="2880"/>
      </w:tblGrid>
      <w:tr w14:paraId="336A6698" w14:textId="77777777" w:rsidTr="0013696B">
        <w:tblPrEx>
          <w:tblW w:w="0" w:type="auto"/>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Look w:val="04A0"/>
        </w:tblPrEx>
        <w:tc>
          <w:tcPr>
            <w:tcW w:w="2880" w:type="dxa"/>
            <w:shd w:val="clear" w:color="auto" w:fill="4F81BD" w:themeFill="accent1"/>
          </w:tcPr>
          <w:p w:rsidR="0013696B" w14:paraId="65E469BA" w14:textId="77777777">
            <w:pPr>
              <w:bidi w:val="0"/>
              <w:spacing w:before="0" w:after="0" w:line="240" w:lineRule="auto"/>
              <w:rPr>
                <w:rFonts w:ascii="Calibri" w:eastAsia="Calibri" w:hAnsi="Calibri" w:cstheme="minorBidi"/>
                <w:b/>
                <w:bCs/>
                <w:color w:val="FFFFFF" w:themeColor="background1"/>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FFFFFF"/>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Year</w:t>
            </w:r>
          </w:p>
        </w:tc>
        <w:tc>
          <w:tcPr>
            <w:tcW w:w="2880" w:type="dxa"/>
            <w:shd w:val="clear" w:color="auto" w:fill="4F81BD" w:themeFill="accent1"/>
          </w:tcPr>
          <w:p w:rsidR="0013696B" w14:paraId="06B8F843" w14:textId="77777777">
            <w:pPr>
              <w:bidi w:val="0"/>
              <w:spacing w:before="0" w:after="0" w:line="240" w:lineRule="auto"/>
              <w:rPr>
                <w:rFonts w:ascii="Calibri" w:eastAsia="Calibri" w:hAnsi="Calibri" w:cstheme="minorBidi"/>
                <w:b/>
                <w:bCs/>
                <w:color w:val="FFFFFF" w:themeColor="background1"/>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FFFFFF"/>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予想収益 (USD、百万)</w:t>
            </w:r>
          </w:p>
        </w:tc>
        <w:tc>
          <w:tcPr>
            <w:tcW w:w="2880" w:type="dxa"/>
            <w:shd w:val="clear" w:color="auto" w:fill="4F81BD" w:themeFill="accent1"/>
          </w:tcPr>
          <w:p w:rsidR="0013696B" w14:paraId="0118E734" w14:textId="77777777">
            <w:pPr>
              <w:bidi w:val="0"/>
              <w:spacing w:before="0" w:after="0" w:line="240" w:lineRule="auto"/>
              <w:rPr>
                <w:rFonts w:ascii="Calibri" w:eastAsia="Calibri" w:hAnsi="Calibri" w:cstheme="minorBidi"/>
                <w:b/>
                <w:bCs/>
                <w:color w:val="FFFFFF" w:themeColor="background1"/>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FFFFFF"/>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予測される EBITDA (USD、百万)</w:t>
            </w:r>
          </w:p>
        </w:tc>
      </w:tr>
      <w:tr w14:paraId="3F52840B" w14:textId="77777777" w:rsidTr="0013696B">
        <w:tblPrEx>
          <w:tblW w:w="0" w:type="auto"/>
          <w:tblInd w:w="0" w:type="dxa"/>
          <w:tblCellMar>
            <w:top w:w="0" w:type="dxa"/>
            <w:left w:w="108" w:type="dxa"/>
            <w:bottom w:w="0" w:type="dxa"/>
            <w:right w:w="108" w:type="dxa"/>
          </w:tblCellMar>
          <w:tblLook w:val="04A0"/>
        </w:tblPrEx>
        <w:tc>
          <w:tcPr>
            <w:tcW w:w="2880" w:type="dxa"/>
            <w:tcBorders>
              <w:top w:val="single" w:sz="8" w:space="0" w:color="4F81BD" w:themeColor="accent1"/>
              <w:left w:val="single" w:sz="8" w:space="0" w:color="4F81BD" w:themeColor="accent1"/>
              <w:bottom w:val="single" w:sz="8" w:space="0" w:color="4F81BD" w:themeColor="accent1"/>
            </w:tcBorders>
          </w:tcPr>
          <w:p w:rsidR="0013696B" w14:paraId="13EEB19C" w14:textId="77777777">
            <w:pPr>
              <w:bidi w:val="0"/>
              <w:spacing w:after="0" w:line="240" w:lineRule="auto"/>
              <w:rPr>
                <w:rFonts w:ascii="Calibri" w:eastAsia="Calibri" w:hAnsi="Calibri" w:cstheme="minorBidi"/>
                <w:b/>
                <w:bCs/>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2026.0</w:t>
            </w:r>
          </w:p>
        </w:tc>
        <w:tc>
          <w:tcPr>
            <w:tcW w:w="2880" w:type="dxa"/>
            <w:tcBorders>
              <w:top w:val="single" w:sz="8" w:space="0" w:color="4F81BD" w:themeColor="accent1"/>
              <w:bottom w:val="single" w:sz="8" w:space="0" w:color="4F81BD" w:themeColor="accent1"/>
            </w:tcBorders>
          </w:tcPr>
          <w:p w:rsidR="0013696B" w14:paraId="47206B3A"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392.0</w:t>
            </w:r>
          </w:p>
        </w:tc>
        <w:tc>
          <w:tcPr>
            <w:tcW w:w="2880" w:type="dxa"/>
            <w:tcBorders>
              <w:top w:val="single" w:sz="8" w:space="0" w:color="4F81BD" w:themeColor="accent1"/>
              <w:bottom w:val="single" w:sz="8" w:space="0" w:color="4F81BD" w:themeColor="accent1"/>
              <w:right w:val="single" w:sz="8" w:space="0" w:color="4F81BD" w:themeColor="accent1"/>
            </w:tcBorders>
          </w:tcPr>
          <w:p w:rsidR="0013696B" w14:paraId="41BE5F15"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94.0</w:t>
            </w:r>
          </w:p>
        </w:tc>
      </w:tr>
      <w:tr w14:paraId="5B60C56A" w14:textId="77777777" w:rsidTr="0013696B">
        <w:tblPrEx>
          <w:tblW w:w="0" w:type="auto"/>
          <w:tblInd w:w="0" w:type="dxa"/>
          <w:tblCellMar>
            <w:top w:w="0" w:type="dxa"/>
            <w:left w:w="108" w:type="dxa"/>
            <w:bottom w:w="0" w:type="dxa"/>
            <w:right w:w="108" w:type="dxa"/>
          </w:tblCellMar>
          <w:tblLook w:val="04A0"/>
        </w:tblPrEx>
        <w:tc>
          <w:tcPr>
            <w:tcW w:w="2880" w:type="dxa"/>
          </w:tcPr>
          <w:p w:rsidR="0013696B" w14:paraId="5BA0648C" w14:textId="77777777">
            <w:pPr>
              <w:bidi w:val="0"/>
              <w:spacing w:after="0" w:line="240" w:lineRule="auto"/>
              <w:rPr>
                <w:rFonts w:ascii="Calibri" w:eastAsia="Calibri" w:hAnsi="Calibri" w:cstheme="minorBidi"/>
                <w:b/>
                <w:bCs/>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2027.0</w:t>
            </w:r>
          </w:p>
        </w:tc>
        <w:tc>
          <w:tcPr>
            <w:tcW w:w="2880" w:type="dxa"/>
          </w:tcPr>
          <w:p w:rsidR="0013696B" w14:paraId="333E44CC"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476.0</w:t>
            </w:r>
          </w:p>
        </w:tc>
        <w:tc>
          <w:tcPr>
            <w:tcW w:w="2880" w:type="dxa"/>
          </w:tcPr>
          <w:p w:rsidR="0013696B" w14:paraId="76E21C33"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116.0</w:t>
            </w:r>
          </w:p>
        </w:tc>
      </w:tr>
      <w:tr w14:paraId="425AEBA6" w14:textId="77777777" w:rsidTr="0013696B">
        <w:tblPrEx>
          <w:tblW w:w="0" w:type="auto"/>
          <w:tblInd w:w="0" w:type="dxa"/>
          <w:tblCellMar>
            <w:top w:w="0" w:type="dxa"/>
            <w:left w:w="108" w:type="dxa"/>
            <w:bottom w:w="0" w:type="dxa"/>
            <w:right w:w="108" w:type="dxa"/>
          </w:tblCellMar>
          <w:tblLook w:val="04A0"/>
        </w:tblPrEx>
        <w:tc>
          <w:tcPr>
            <w:tcW w:w="2880" w:type="dxa"/>
            <w:tcBorders>
              <w:top w:val="single" w:sz="8" w:space="0" w:color="4F81BD" w:themeColor="accent1"/>
              <w:left w:val="single" w:sz="8" w:space="0" w:color="4F81BD" w:themeColor="accent1"/>
              <w:bottom w:val="single" w:sz="8" w:space="0" w:color="4F81BD" w:themeColor="accent1"/>
            </w:tcBorders>
          </w:tcPr>
          <w:p w:rsidR="0013696B" w14:paraId="2A825B23" w14:textId="77777777">
            <w:pPr>
              <w:bidi w:val="0"/>
              <w:spacing w:after="0" w:line="240" w:lineRule="auto"/>
              <w:rPr>
                <w:rFonts w:ascii="Calibri" w:eastAsia="Calibri" w:hAnsi="Calibri" w:cstheme="minorBidi"/>
                <w:b/>
                <w:bCs/>
                <w:sz w:val="22"/>
                <w:szCs w:val="22"/>
                <w:lang w:val="en-US" w:eastAsia="en-US" w:bidi="ar-SA"/>
              </w:rPr>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2028.0</w:t>
            </w:r>
          </w:p>
        </w:tc>
        <w:tc>
          <w:tcPr>
            <w:tcW w:w="2880" w:type="dxa"/>
            <w:tcBorders>
              <w:top w:val="single" w:sz="8" w:space="0" w:color="4F81BD" w:themeColor="accent1"/>
              <w:bottom w:val="single" w:sz="8" w:space="0" w:color="4F81BD" w:themeColor="accent1"/>
            </w:tcBorders>
          </w:tcPr>
          <w:p w:rsidR="0013696B" w14:paraId="65EF0935"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565.0</w:t>
            </w:r>
          </w:p>
        </w:tc>
        <w:tc>
          <w:tcPr>
            <w:tcW w:w="2880" w:type="dxa"/>
            <w:tcBorders>
              <w:top w:val="single" w:sz="8" w:space="0" w:color="4F81BD" w:themeColor="accent1"/>
              <w:bottom w:val="single" w:sz="8" w:space="0" w:color="4F81BD" w:themeColor="accent1"/>
              <w:right w:val="single" w:sz="8" w:space="0" w:color="4F81BD" w:themeColor="accent1"/>
            </w:tcBorders>
          </w:tcPr>
          <w:p w:rsidR="0013696B" w14:paraId="1E4118A3" w14:textId="77777777">
            <w:pPr>
              <w:bidi w:val="0"/>
              <w:spacing w:after="0" w:line="240" w:lineRule="auto"/>
              <w:rPr>
                <w:rFonts w:ascii="Calibri" w:eastAsia="Calibri" w:hAnsi="Calibri" w:cstheme="minorBidi"/>
                <w:sz w:val="22"/>
                <w:szCs w:val="22"/>
                <w:lang w:val="en-US" w:eastAsia="en-US" w:bidi="ar-SA"/>
              </w:rP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140.0</w:t>
            </w:r>
          </w:p>
        </w:tc>
      </w:tr>
    </w:tbl>
    <w:p w:rsidR="0013696B" w14:paraId="350F0F41" w14:textId="77777777"/>
    <w:p w:rsidR="0013696B" w14:paraId="1DC90330" w14:textId="77777777">
      <w:r>
        <w:rPr>
          <w:noProof/>
        </w:rPr>
        <w:drawing>
          <wp:inline distT="0" distB="0" distL="0" distR="0">
            <wp:extent cx="5303520" cy="2651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orecast_chart.png"/>
                    <pic:cNvPicPr/>
                  </pic:nvPicPr>
                  <pic:blipFill>
                    <a:blip xmlns:r="http://schemas.openxmlformats.org/officeDocument/2006/relationships" r:embed="rId8"/>
                    <a:stretch>
                      <a:fillRect/>
                    </a:stretch>
                  </pic:blipFill>
                  <pic:spPr>
                    <a:xfrm>
                      <a:off x="0" y="0"/>
                      <a:ext cx="5303520" cy="2651760"/>
                    </a:xfrm>
                    <a:prstGeom prst="rect">
                      <a:avLst/>
                    </a:prstGeom>
                  </pic:spPr>
                </pic:pic>
              </a:graphicData>
            </a:graphic>
          </wp:inline>
        </w:drawing>
      </w:r>
    </w:p>
    <w:p w:rsidR="0013696B" w14:paraId="438C025B" w14:textId="77777777">
      <w:pPr>
        <w:pStyle w:val="Heading1"/>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 xml:space="preserve">10.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365F91"/>
          <w:spacing w:val="0"/>
          <w:w w:val="100"/>
          <w:kern w:val="0"/>
          <w:position w:val="0"/>
          <w:sz w:val="28"/>
          <w:szCs w:val="28"/>
          <w:highlight w:val="none"/>
          <w:u w:val="none" w:color="auto"/>
          <w:bdr w:val="none" w:sz="0" w:space="0" w:color="auto"/>
          <w:shd w:val="clear" w:color="auto" w:fill="auto"/>
          <w:vertAlign w:val="baseline"/>
          <w:rtl w:val="0"/>
          <w:cs w:val="0"/>
          <w:lang w:val="en-US" w:eastAsia="ja-JP" w:bidi="ar-SA"/>
        </w:rPr>
        <w:t>概要評価</w:t>
      </w:r>
    </w:p>
    <w:p w:rsidR="0013696B" w14:paraId="6D43468E"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評価の根拠:成長、マージン、相乗効果の可能性を考慮すると、6.8 から 7.5x 倍の EV/ARR (企業価値/年間経常収益) が妥当と見られます (2025 年の ARR 2 億 5,500 万ドルでの想定 EV 範囲は 17 から 19 億ドル)。</w:t>
      </w:r>
    </w:p>
    <w:p w:rsidR="0013696B" w14:paraId="48F6AC32"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取引上の検討事項:完全な買収、またはエンタープライズ レベルの ARR 成長に連動するアーンアウト式の株式の過半数取得。</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統合は 12 から 18 か月にわたって段階的に行われ、継続性のためにヨーロッパ、中近東およびアフリカではブランドを維持。</w:t>
      </w:r>
    </w:p>
    <w:p w:rsidR="0013696B" w14:paraId="3A38E8AF"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推奨事項:Relecloud は、Fabrikam の安全なマルチクラウド運用への拡張に際し、強力な戦略的適合性がある。</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大規模組織の解約要因、ロードマップの実行、ヨーロッパでのデータ ローカライズのコミットメントに焦点を当てた詳細なデュー デリジェンスの実施。</w:t>
      </w:r>
    </w:p>
    <w:sectPr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5997069">
    <w:abstractNumId w:val="8"/>
  </w:num>
  <w:num w:numId="2" w16cid:durableId="1762801498">
    <w:abstractNumId w:val="6"/>
  </w:num>
  <w:num w:numId="3" w16cid:durableId="361593376">
    <w:abstractNumId w:val="5"/>
  </w:num>
  <w:num w:numId="4" w16cid:durableId="832188060">
    <w:abstractNumId w:val="4"/>
  </w:num>
  <w:num w:numId="5" w16cid:durableId="1477335599">
    <w:abstractNumId w:val="7"/>
  </w:num>
  <w:num w:numId="6" w16cid:durableId="41177515">
    <w:abstractNumId w:val="3"/>
  </w:num>
  <w:num w:numId="7" w16cid:durableId="1979144419">
    <w:abstractNumId w:val="2"/>
  </w:num>
  <w:num w:numId="8" w16cid:durableId="884292309">
    <w:abstractNumId w:val="1"/>
  </w:num>
  <w:num w:numId="9" w16cid:durableId="1648129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B47730"/>
    <w:rsid w:val="00034616"/>
    <w:rsid w:val="0006063C"/>
    <w:rsid w:val="000E4F9B"/>
    <w:rsid w:val="0013696B"/>
    <w:rsid w:val="0015074B"/>
    <w:rsid w:val="00202502"/>
    <w:rsid w:val="0029639D"/>
    <w:rsid w:val="00326F90"/>
    <w:rsid w:val="0041111B"/>
    <w:rsid w:val="004B3CCB"/>
    <w:rsid w:val="004C0F9D"/>
    <w:rsid w:val="00AA1D8D"/>
    <w:rsid w:val="00B352AC"/>
    <w:rsid w:val="00B47730"/>
    <w:rsid w:val="00CB0664"/>
    <w:rsid w:val="00CD5FFF"/>
    <w:rsid w:val="00E41D14"/>
    <w:rsid w:val="00EE78F8"/>
    <w:rsid w:val="00FC693F"/>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14:docId w14:val="24062061"/>
  <w15:docId w15:val="{13007118-11FB-4EA7-A846-2B1070E78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4</TotalTime>
  <Pages>6</Pages>
  <Words>949</Words>
  <Characters>6099</Characters>
  <Application>Microsoft Office Word</Application>
  <DocSecurity>0</DocSecurity>
  <Lines>138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Tony Frink</cp:lastModifiedBy>
  <cp:revision>6</cp:revision>
  <dcterms:created xsi:type="dcterms:W3CDTF">2013-12-23T23:15:00Z</dcterms:created>
  <dcterms:modified xsi:type="dcterms:W3CDTF">2026-01-17T15:55:00Z</dcterms:modified>
</cp:coreProperties>
</file>