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매출($1,000)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판매 제품 원가($1,000)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이익률(%)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영업비용($1,000)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EBITDA($1,000)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이자비용($1,000)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세전 이익($1,000)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순수입($1,000)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자산 총액($1,000)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부채 총액($1,000)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자기 자본($1,000)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