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311A9" w14:textId="7A0BF599" w:rsidR="010026F7" w:rsidRDefault="010026F7" w:rsidP="0B570431">
      <w:pPr>
        <w:pStyle w:val="Title"/>
      </w:pPr>
      <w:r>
        <w:t>Comparação entre sistemas de caldeira e sistemas de fornos em edifícios comerciais</w:t>
      </w:r>
    </w:p>
    <w:p w14:paraId="4A5F9B7E" w14:textId="092EA2DB" w:rsidR="010026F7" w:rsidRDefault="010026F7" w:rsidP="0B570431">
      <w:pPr>
        <w:pStyle w:val="Heading1"/>
      </w:pPr>
      <w:r>
        <w:t>Introdução</w:t>
      </w:r>
    </w:p>
    <w:p w14:paraId="282E3525" w14:textId="64A3A28E" w:rsidR="010026F7" w:rsidRDefault="010026F7" w:rsidP="0B570431">
      <w:r>
        <w:t>Sistemas de caldeira e sistemas de fornos são dois tipos comuns de sistemas de aquecimento usados em edifícios comerciais. Os sistemas de caldeira distribuem calor pelo edifício utilizando água quente ou vapor, enquanto os sistemas de fornos utilizam ar forçado. Cada um desses sistemas tem suas vantagens e desvantagens, e a escolha entre eles depende de diversos fatores, como o tamanho, a idade e a estrutura do edifício, o clima local, a eficiência energética e o orçamento disponível. Neste relatório, vamos comparar o funcionamento, o desempenho, os custos e o impacto nos sistemas de ar condicionado dos sistemas de caldeira e fornos. Também discutiremos os aspectos a serem considerados ao planejar a transição de um sistema de caldeira existente para um sistema de fornos em um edifício comercial.</w:t>
      </w:r>
    </w:p>
    <w:p w14:paraId="118D2257" w14:textId="2453BDC0" w:rsidR="010026F7" w:rsidRDefault="010026F7" w:rsidP="0B570431">
      <w:pPr>
        <w:pStyle w:val="Heading1"/>
      </w:pPr>
      <w:r>
        <w:t>Tipos de sistemas de caldeira</w:t>
      </w:r>
    </w:p>
    <w:p w14:paraId="70D6AED3" w14:textId="66F09A6F" w:rsidR="010026F7" w:rsidRDefault="010026F7" w:rsidP="0B570431">
      <w:r>
        <w:t>Os sistemas de caldeira são classificados em dois tipos principais: caldeiras de água quente e caldeiras a vapor. As caldeiras de água quente aquecem a água e a distribuem através de tubos e radiadores ou aquecedores de rodapé em cada cômodo. Já as caldeiras a vapor produzem vapor e o distribuem através de tubos e radiadores ou convectores em cada cômodo. O vapor condensa e a água retorna para a caldeira. Ambos os tipos de caldeiras podem utilizar diferentes tipos de combustíveis, como gás natural, petróleo, eletricidade ou biomassa, para aquecer a água ou o vapor. Os sistemas de caldeira costumam ser mais eficientes do que os sistemas de fornos, pois perdem menos calor durante o processo de aquecimento. No entanto, também têm algumas desvantagens, como custos de instalação e manutenção mais elevados, tempo de aquecimento mais longo e operação mais complexa.</w:t>
      </w:r>
    </w:p>
    <w:p w14:paraId="7738946D" w14:textId="1D46864D" w:rsidR="010026F7" w:rsidRDefault="010026F7" w:rsidP="0B570431">
      <w:pPr>
        <w:pStyle w:val="Heading1"/>
      </w:pPr>
      <w:r>
        <w:t>Tipos de sistemas de fornos</w:t>
      </w:r>
    </w:p>
    <w:p w14:paraId="168A56CE" w14:textId="293D7F27" w:rsidR="010026F7" w:rsidRDefault="010026F7" w:rsidP="0B570431">
      <w:r>
        <w:t xml:space="preserve">Os sistemas de fornos também são classificados em dois tipos principais: fornos de estágio único e fornos de dois estágios. Os fornos de estágio único têm apenas uma configuração para o queimador, o que significa que funcionam em capacidade máxima ou ficam desligados. Já os fornos de dois estágios têm duas configurações para o queimador, </w:t>
      </w:r>
      <w:r>
        <w:lastRenderedPageBreak/>
        <w:t xml:space="preserve">permitindo que operem em baixa ou em alta capacidade, conforme a demanda de aquecimento. Ambos os tipos de fornos usam um ventilador para distribuir o ar aquecido através de dutos e ventilações em cada cômodo. Os sistemas de fornos podem ser alimentados por diversos tipos de combustíveis, como gás natural, petróleo, eletricidade ou propano, para aquecer o ar. Geralmente, os sistemas de fornos são mais econômicos </w:t>
      </w:r>
      <w:r w:rsidR="00D668B4">
        <w:br/>
      </w:r>
      <w:r>
        <w:t>e simples de instalar e manter do que os sistemas de caldeira, pois possuem menos componentes e menos tubulações. No entanto, apresentam algumas desvantagens, como menor eficiência, maior nível de ruído e pior qualidade do ar.</w:t>
      </w:r>
    </w:p>
    <w:p w14:paraId="07C743EE" w14:textId="2F0CB241" w:rsidR="010026F7" w:rsidRDefault="010026F7" w:rsidP="0B570431">
      <w:pPr>
        <w:pStyle w:val="Heading1"/>
      </w:pPr>
      <w:r>
        <w:t>Considerações para a transição de um sistema de caldeira para um sistema de fornos</w:t>
      </w:r>
    </w:p>
    <w:p w14:paraId="25EDC49A" w14:textId="6166B265" w:rsidR="010026F7" w:rsidRDefault="010026F7" w:rsidP="0B570431">
      <w:r>
        <w:t>A transição de um sistema de caldeira para um sistema de fornos em um edifício comercial não é uma tarefa simples, pois envolve diversos fatores e desafios. Algumas das principais considerações são:</w:t>
      </w:r>
    </w:p>
    <w:p w14:paraId="505B69B7" w14:textId="23F1E061" w:rsidR="010026F7" w:rsidRDefault="010026F7" w:rsidP="0B570431">
      <w:pPr>
        <w:pStyle w:val="ListParagraph"/>
        <w:numPr>
          <w:ilvl w:val="0"/>
          <w:numId w:val="1"/>
        </w:numPr>
      </w:pPr>
      <w:r>
        <w:t>O tamanho e a estrutura do edifício. Um sistema de caldeira ocupa menos espaço que um sistema de fornos, já que não requer dutos e ventilações. Por outro lado, um sistema de fornos demanda uma extensa rede de dutos e ventilações para distribuir o ar aquecido pelo edifício. Portanto, a transição de um sistema de caldeira para um sistema de fornos pode exigir mudanças estruturais significativas e modificações no edifício, como a adição ou remoção de paredes, tetos, pisos ou janelas.</w:t>
      </w:r>
    </w:p>
    <w:p w14:paraId="75265C3A" w14:textId="133BD01D" w:rsidR="010026F7" w:rsidRDefault="010026F7" w:rsidP="0B570431">
      <w:pPr>
        <w:pStyle w:val="ListParagraph"/>
        <w:numPr>
          <w:ilvl w:val="0"/>
          <w:numId w:val="1"/>
        </w:numPr>
      </w:pPr>
      <w:r>
        <w:t>A idade e a condição do edifício. Um sistema de caldeira é mais adequado para edifícios mais antigos e históricos, pois preserva a arquitetura original e a estética do local. Já um sistema de fornos pode alterar a aparência e os traços do edifício, já que requer dutos e ventilações que podem não combinar com o estilo e o design do edifício. Portanto, a transição de um sistema de caldeira para um sistema de fornos pode exigir planejamento meticuloso e consulta com os proprietários, administradores e preservacionistas do edifício.</w:t>
      </w:r>
    </w:p>
    <w:p w14:paraId="398B973E" w14:textId="34362E6E" w:rsidR="010026F7" w:rsidRDefault="010026F7" w:rsidP="0B570431">
      <w:pPr>
        <w:pStyle w:val="ListParagraph"/>
        <w:numPr>
          <w:ilvl w:val="0"/>
          <w:numId w:val="1"/>
        </w:numPr>
      </w:pPr>
      <w:r>
        <w:t>O clima e as condições meteorológicas do local. Em regiões mais frias e úmidas, um sistema de caldeira é mais eficaz, proporcionando calor e umidade de forma constante por todo o edifício. Já em áreas mais quentes e secas, um sistema de fornos oferece calor e ventilação mais rápidos e flexíveis. Portanto, a transição de um sistema de caldeira para um sistema de fornos pode exigir o ajuste do termostato e das configurações de umidade para garantir conforto e eficiência ideais.</w:t>
      </w:r>
    </w:p>
    <w:p w14:paraId="7A7C1F6C" w14:textId="14E62378" w:rsidR="010026F7" w:rsidRDefault="010026F7" w:rsidP="0B570431">
      <w:pPr>
        <w:pStyle w:val="ListParagraph"/>
        <w:numPr>
          <w:ilvl w:val="0"/>
          <w:numId w:val="1"/>
        </w:numPr>
      </w:pPr>
      <w:r>
        <w:lastRenderedPageBreak/>
        <w:t>A eficiência energética e o impacto ambiental do sistema. Normalmente, um sistema de caldeira é mais eficiente e ecológico, consumindo menos combustível e emitindo menos poluentes e gases do efeito estufa do que um sistema de fornos. Por outro lado, um sistema de fornos normalmente é menos eficiente e ecológico do que um sistema de caldeira, pois consome mais combustível e emite mais poluentes e gases do efeito estufa. Portanto, a transição de um sistema de caldeira para um sistema de fornos pode exigir a instalação de isolamento, vedação e ventilação adicionais para reduzir a perda de calor e melhorar a qualidade do ar.</w:t>
      </w:r>
    </w:p>
    <w:p w14:paraId="6AB095F7" w14:textId="31200FC7" w:rsidR="010026F7" w:rsidRDefault="010026F7" w:rsidP="0B570431">
      <w:pPr>
        <w:pStyle w:val="ListParagraph"/>
        <w:numPr>
          <w:ilvl w:val="0"/>
          <w:numId w:val="1"/>
        </w:numPr>
      </w:pPr>
      <w:r>
        <w:t>O custo e a viabilidade da transição. Um sistema de caldeira é mais caro e complicado de instalar e manter do que um sistema de fornos, pois requer mais componentes e tubulações. Por outro lado, um sistema de fornos é mais acessível e mais simples de instalar e manter, já que exige menos componentes e tubulações. Portanto, a transição de um sistema de caldeira para um sistema de fornos pode exigir um investimento inicial significativo e um compromisso de longo prazo para garantir uma mudança tranquila e bem-sucedida.</w:t>
      </w:r>
    </w:p>
    <w:p w14:paraId="3CA1D8F2" w14:textId="6083B984" w:rsidR="010026F7" w:rsidRDefault="010026F7" w:rsidP="0B570431">
      <w:pPr>
        <w:pStyle w:val="Heading1"/>
      </w:pPr>
      <w:r>
        <w:t>Impacto no sistema de ar condicionado.</w:t>
      </w:r>
    </w:p>
    <w:p w14:paraId="5517B261" w14:textId="2C512E57" w:rsidR="010026F7" w:rsidRPr="00D668B4" w:rsidRDefault="010026F7" w:rsidP="0B570431">
      <w:pPr>
        <w:rPr>
          <w:spacing w:val="-2"/>
        </w:rPr>
      </w:pPr>
      <w:r w:rsidRPr="00D668B4">
        <w:rPr>
          <w:spacing w:val="-2"/>
        </w:rPr>
        <w:t>A transição de um sistema de caldeira para um sistema de fornos em um edifício comercial também pode afetar o sistema de ar-condicionado existente, já que ambos os sistemas frequentemente são interligados e interdependentes. O possíveis efeitos incluem:</w:t>
      </w:r>
    </w:p>
    <w:p w14:paraId="40A17DFA" w14:textId="0DD2E3F9" w:rsidR="010026F7" w:rsidRDefault="010026F7" w:rsidP="0B570431">
      <w:pPr>
        <w:pStyle w:val="ListParagraph"/>
        <w:numPr>
          <w:ilvl w:val="0"/>
          <w:numId w:val="1"/>
        </w:numPr>
      </w:pPr>
      <w:r>
        <w:t>O sistema de ar condicionado pode precisar ser atualizado ou substituído para corresponder à capacidade e compatibilidade do sistema de fornos. Um sistema de fornos pode ter uma carga de resfriamento maior ou menor do que um sistema de caldeira, dependendo do tamanho, da eficiência e do tipo de combustível do sistema. Portanto, o sistema de ar condicionado pode precisar ser ajustado ou substituído para garantir um resfriamento adequado e equilibrado por todo o edifício.</w:t>
      </w:r>
    </w:p>
    <w:p w14:paraId="078A2E5A" w14:textId="0E337742" w:rsidR="010026F7" w:rsidRDefault="010026F7" w:rsidP="0B570431">
      <w:pPr>
        <w:pStyle w:val="ListParagraph"/>
        <w:numPr>
          <w:ilvl w:val="0"/>
          <w:numId w:val="1"/>
        </w:numPr>
      </w:pPr>
      <w:r>
        <w:t>O sistema de ar condicionado pode precisar ser modificado ou realocado para acomodar os dutos e ventilações do sistema de fornos. Um sistema de fornos pode exigir mais ou menos dutos e ventilações do que um sistema de caldeira, dependendo da estrutura e do design do edifício. Portanto, o sistema de ar condicionado pode precisar ser modificado ou realocado para evitar conflitos ou interferências com os dutos e ventilações do sistema de fornos.</w:t>
      </w:r>
    </w:p>
    <w:p w14:paraId="6810D636" w14:textId="097C203D" w:rsidR="010026F7" w:rsidRDefault="010026F7" w:rsidP="0B570431">
      <w:pPr>
        <w:pStyle w:val="ListParagraph"/>
        <w:numPr>
          <w:ilvl w:val="0"/>
          <w:numId w:val="1"/>
        </w:numPr>
      </w:pPr>
      <w:r>
        <w:t xml:space="preserve">O sistema de ar condicionado pode precisar ser integrado ou coordenado com o sistema de fornos para otimizar o desempenho e a eficiência de ambos os sistemas. Um sistema de fornos pode ter um modo de controle e operação </w:t>
      </w:r>
      <w:r>
        <w:lastRenderedPageBreak/>
        <w:t>diferente ou similar a um sistema de caldeira, dependendo do tipo e modelo do sistema. Portanto, o sistema de ar condicionado pode precisar ser integrado ou coordenado com o sistema de fornos para garantir conforto e eficiência ideais.</w:t>
      </w:r>
    </w:p>
    <w:p w14:paraId="62A2C025" w14:textId="350C9834" w:rsidR="010026F7" w:rsidRDefault="010026F7" w:rsidP="0B570431">
      <w:pPr>
        <w:pStyle w:val="Heading1"/>
      </w:pPr>
      <w:r>
        <w:t>Taxas médias de falha e custos de manutenção.</w:t>
      </w:r>
    </w:p>
    <w:p w14:paraId="1E2C62AA" w14:textId="5B07BF44" w:rsidR="010026F7" w:rsidRDefault="010026F7" w:rsidP="0B570431">
      <w:r>
        <w:t>Outro aspecto a ser considerado ao comparar os sistemas de caldeira e os sistemas de fornos em edifícios comerciais são as taxas médias de falha e os custos de manutenção de ambos os sistemas. De acordo com o estudo do National Institute of Standards and Technology (NIST), as taxas médias de falha e os custos de manutenção de sistemas de caldeira e sistemas de fornos em edifícios comerciais são os seguintes:</w:t>
      </w:r>
    </w:p>
    <w:tbl>
      <w:tblPr>
        <w:tblStyle w:val="TableGrid"/>
        <w:tblW w:w="936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3120"/>
        <w:gridCol w:w="2900"/>
        <w:gridCol w:w="3340"/>
      </w:tblGrid>
      <w:tr w:rsidR="0B570431" w14:paraId="24906070" w14:textId="77777777" w:rsidTr="00D668B4">
        <w:trPr>
          <w:trHeight w:val="300"/>
        </w:trPr>
        <w:tc>
          <w:tcPr>
            <w:tcW w:w="3120" w:type="dxa"/>
            <w:shd w:val="clear" w:color="auto" w:fill="F5F5F5"/>
            <w:tcMar>
              <w:top w:w="60" w:type="dxa"/>
              <w:left w:w="60" w:type="dxa"/>
              <w:bottom w:w="60" w:type="dxa"/>
              <w:right w:w="60" w:type="dxa"/>
            </w:tcMar>
          </w:tcPr>
          <w:p w14:paraId="3513E28A" w14:textId="24299FAA" w:rsidR="0B570431" w:rsidRDefault="0B570431" w:rsidP="0B570431">
            <w:pPr>
              <w:rPr>
                <w:b/>
                <w:bCs/>
                <w:sz w:val="22"/>
                <w:szCs w:val="22"/>
              </w:rPr>
            </w:pPr>
            <w:r>
              <w:rPr>
                <w:b/>
                <w:sz w:val="22"/>
              </w:rPr>
              <w:t>Tipo de sistema</w:t>
            </w:r>
          </w:p>
        </w:tc>
        <w:tc>
          <w:tcPr>
            <w:tcW w:w="2900" w:type="dxa"/>
            <w:shd w:val="clear" w:color="auto" w:fill="F5F5F5"/>
            <w:tcMar>
              <w:top w:w="60" w:type="dxa"/>
              <w:left w:w="60" w:type="dxa"/>
              <w:bottom w:w="60" w:type="dxa"/>
              <w:right w:w="60" w:type="dxa"/>
            </w:tcMar>
          </w:tcPr>
          <w:p w14:paraId="4A9112BE" w14:textId="28834EE1" w:rsidR="0B570431" w:rsidRDefault="0B570431" w:rsidP="0B570431">
            <w:pPr>
              <w:rPr>
                <w:b/>
                <w:bCs/>
                <w:sz w:val="22"/>
                <w:szCs w:val="22"/>
              </w:rPr>
            </w:pPr>
            <w:r>
              <w:rPr>
                <w:b/>
                <w:sz w:val="22"/>
              </w:rPr>
              <w:t>Taxa média de falha</w:t>
            </w:r>
          </w:p>
        </w:tc>
        <w:tc>
          <w:tcPr>
            <w:tcW w:w="3340" w:type="dxa"/>
            <w:shd w:val="clear" w:color="auto" w:fill="F5F5F5"/>
            <w:tcMar>
              <w:top w:w="60" w:type="dxa"/>
              <w:left w:w="60" w:type="dxa"/>
              <w:bottom w:w="60" w:type="dxa"/>
              <w:right w:w="60" w:type="dxa"/>
            </w:tcMar>
          </w:tcPr>
          <w:p w14:paraId="2642F474" w14:textId="1E7FDB26" w:rsidR="0B570431" w:rsidRDefault="0B570431" w:rsidP="0B570431">
            <w:pPr>
              <w:rPr>
                <w:b/>
                <w:bCs/>
                <w:sz w:val="22"/>
                <w:szCs w:val="22"/>
              </w:rPr>
            </w:pPr>
            <w:r>
              <w:rPr>
                <w:b/>
                <w:sz w:val="22"/>
              </w:rPr>
              <w:t>Custo médio de manutenção</w:t>
            </w:r>
          </w:p>
        </w:tc>
      </w:tr>
      <w:tr w:rsidR="0B570431" w14:paraId="0209C06A" w14:textId="77777777" w:rsidTr="00D668B4">
        <w:trPr>
          <w:trHeight w:val="300"/>
        </w:trPr>
        <w:tc>
          <w:tcPr>
            <w:tcW w:w="3120" w:type="dxa"/>
            <w:shd w:val="clear" w:color="auto" w:fill="FFFFFF" w:themeFill="background1"/>
            <w:tcMar>
              <w:top w:w="60" w:type="dxa"/>
              <w:left w:w="60" w:type="dxa"/>
              <w:bottom w:w="60" w:type="dxa"/>
              <w:right w:w="60" w:type="dxa"/>
            </w:tcMar>
          </w:tcPr>
          <w:p w14:paraId="4D70A214" w14:textId="385A8BD2" w:rsidR="0B570431" w:rsidRDefault="0B570431" w:rsidP="0B570431">
            <w:pPr>
              <w:rPr>
                <w:sz w:val="22"/>
                <w:szCs w:val="22"/>
              </w:rPr>
            </w:pPr>
            <w:r>
              <w:rPr>
                <w:sz w:val="22"/>
              </w:rPr>
              <w:t>Sistema de caldeira</w:t>
            </w:r>
          </w:p>
        </w:tc>
        <w:tc>
          <w:tcPr>
            <w:tcW w:w="2900" w:type="dxa"/>
            <w:shd w:val="clear" w:color="auto" w:fill="FFFFFF" w:themeFill="background1"/>
            <w:tcMar>
              <w:top w:w="60" w:type="dxa"/>
              <w:left w:w="60" w:type="dxa"/>
              <w:bottom w:w="60" w:type="dxa"/>
              <w:right w:w="60" w:type="dxa"/>
            </w:tcMar>
          </w:tcPr>
          <w:p w14:paraId="7680081B" w14:textId="472EC749" w:rsidR="0B570431" w:rsidRDefault="0B570431" w:rsidP="0B570431">
            <w:pPr>
              <w:rPr>
                <w:sz w:val="22"/>
                <w:szCs w:val="22"/>
              </w:rPr>
            </w:pPr>
            <w:r>
              <w:rPr>
                <w:sz w:val="22"/>
              </w:rPr>
              <w:t>3,2%</w:t>
            </w:r>
          </w:p>
        </w:tc>
        <w:tc>
          <w:tcPr>
            <w:tcW w:w="3340" w:type="dxa"/>
            <w:shd w:val="clear" w:color="auto" w:fill="FFFFFF" w:themeFill="background1"/>
            <w:tcMar>
              <w:top w:w="60" w:type="dxa"/>
              <w:left w:w="60" w:type="dxa"/>
              <w:bottom w:w="60" w:type="dxa"/>
              <w:right w:w="60" w:type="dxa"/>
            </w:tcMar>
          </w:tcPr>
          <w:p w14:paraId="5309A9CD" w14:textId="6AA0152B" w:rsidR="0B570431" w:rsidRDefault="0B570431" w:rsidP="0B570431">
            <w:pPr>
              <w:rPr>
                <w:sz w:val="22"/>
                <w:szCs w:val="22"/>
              </w:rPr>
            </w:pPr>
            <w:r>
              <w:rPr>
                <w:sz w:val="22"/>
              </w:rPr>
              <w:t>US$0,27 por pé quadrado por ano</w:t>
            </w:r>
          </w:p>
        </w:tc>
      </w:tr>
      <w:tr w:rsidR="0B570431" w14:paraId="4C173A90" w14:textId="77777777" w:rsidTr="00D668B4">
        <w:trPr>
          <w:trHeight w:val="300"/>
        </w:trPr>
        <w:tc>
          <w:tcPr>
            <w:tcW w:w="3120" w:type="dxa"/>
            <w:shd w:val="clear" w:color="auto" w:fill="FFFFFF" w:themeFill="background1"/>
            <w:tcMar>
              <w:top w:w="60" w:type="dxa"/>
              <w:left w:w="60" w:type="dxa"/>
              <w:bottom w:w="60" w:type="dxa"/>
              <w:right w:w="60" w:type="dxa"/>
            </w:tcMar>
          </w:tcPr>
          <w:p w14:paraId="627D4FC2" w14:textId="6D3C80F7" w:rsidR="0B570431" w:rsidRDefault="0B570431" w:rsidP="0B570431">
            <w:pPr>
              <w:rPr>
                <w:sz w:val="22"/>
                <w:szCs w:val="22"/>
              </w:rPr>
            </w:pPr>
            <w:r>
              <w:rPr>
                <w:sz w:val="22"/>
              </w:rPr>
              <w:t>Sistema de fornos</w:t>
            </w:r>
          </w:p>
        </w:tc>
        <w:tc>
          <w:tcPr>
            <w:tcW w:w="2900" w:type="dxa"/>
            <w:shd w:val="clear" w:color="auto" w:fill="FFFFFF" w:themeFill="background1"/>
            <w:tcMar>
              <w:top w:w="60" w:type="dxa"/>
              <w:left w:w="60" w:type="dxa"/>
              <w:bottom w:w="60" w:type="dxa"/>
              <w:right w:w="60" w:type="dxa"/>
            </w:tcMar>
          </w:tcPr>
          <w:p w14:paraId="22C1AE5C" w14:textId="12E20D72" w:rsidR="0B570431" w:rsidRDefault="0B570431" w:rsidP="0B570431">
            <w:pPr>
              <w:rPr>
                <w:sz w:val="22"/>
                <w:szCs w:val="22"/>
              </w:rPr>
            </w:pPr>
            <w:r>
              <w:rPr>
                <w:sz w:val="22"/>
              </w:rPr>
              <w:t>4,6%</w:t>
            </w:r>
          </w:p>
        </w:tc>
        <w:tc>
          <w:tcPr>
            <w:tcW w:w="3340" w:type="dxa"/>
            <w:shd w:val="clear" w:color="auto" w:fill="FFFFFF" w:themeFill="background1"/>
            <w:tcMar>
              <w:top w:w="60" w:type="dxa"/>
              <w:left w:w="60" w:type="dxa"/>
              <w:bottom w:w="60" w:type="dxa"/>
              <w:right w:w="60" w:type="dxa"/>
            </w:tcMar>
          </w:tcPr>
          <w:p w14:paraId="50CA0E56" w14:textId="1966D8CE" w:rsidR="0B570431" w:rsidRDefault="0B570431" w:rsidP="0B570431">
            <w:pPr>
              <w:rPr>
                <w:sz w:val="22"/>
                <w:szCs w:val="22"/>
              </w:rPr>
            </w:pPr>
            <w:r>
              <w:rPr>
                <w:sz w:val="22"/>
              </w:rPr>
              <w:t>US$0,18 por pé quadrado por ano</w:t>
            </w:r>
          </w:p>
        </w:tc>
      </w:tr>
    </w:tbl>
    <w:p w14:paraId="17078AD4" w14:textId="42BC76AA" w:rsidR="0E305B96" w:rsidRDefault="0E305B96" w:rsidP="0B570431">
      <w:r>
        <w:t>O estudo também constatou que as principais causas de falha e manutenção para ambos os sistemas são vazamentos, corrosão, desgaste e instalação ou operação inadequada. O estudo concluiu que os sistemas de caldeira e os sistemas de fornos têm confiabilidade e durabilidade semelhantes, mas os sistemas de caldeira têm custos de manutenção mais altos e taxas de falha mais baixas do que os sistemas de fornos.</w:t>
      </w:r>
    </w:p>
    <w:p w14:paraId="61D56FD2" w14:textId="0AF18F6C" w:rsidR="0E305B96" w:rsidRDefault="0E305B96" w:rsidP="0B570431">
      <w:pPr>
        <w:pStyle w:val="Heading1"/>
      </w:pPr>
      <w:r>
        <w:t>Conclusão</w:t>
      </w:r>
    </w:p>
    <w:p w14:paraId="6E1AE4CC" w14:textId="6581B29E" w:rsidR="0E305B96" w:rsidRDefault="0E305B96" w:rsidP="0B570431">
      <w:r>
        <w:t>Concluindo, sistemas de caldeira e sistemas de fornos são dois tipos comuns de sistemas de aquecimento usados em edifícios comerciais. Cada um desses sistemas tem suas vantagens e desvantagens, e a escolha entre eles depende de diversos fatores, como o tamanho, a idade e a estrutura do edifício, o clima local, a eficiência energética e o orçamento disponível. A transição de um sistema de caldeira para um sistema de fornos em um edifício comercial não é uma tarefa simples, pois envolve diversos fatores e desafios, como mudanças estruturais, impacto estético, ajustes para conforto e eficiência, investimento inicial e compromisso de longo prazo. A transição de um sistema de caldeira para um sistema de fornos também pode afetar o sistema de ar condicionado existente, já que ambos os sistemas frequentemente são interligados e interdependentes. As taxas médias de falha e os custos de manutenção de ambos os sistemas são semelhantes, mas os sistemas de caldeira têm custos de manutenção mais altos e taxas de falha mais baixas do que os sistemas de fornos.</w:t>
      </w:r>
    </w:p>
    <w:p w14:paraId="1E36C24C" w14:textId="7D8697B6" w:rsidR="0B570431" w:rsidRDefault="0B570431" w:rsidP="0B570431"/>
    <w:sectPr w:rsidR="0B570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6C2E4"/>
    <w:multiLevelType w:val="hybridMultilevel"/>
    <w:tmpl w:val="9A1CCE16"/>
    <w:lvl w:ilvl="0" w:tplc="B1D86328">
      <w:start w:val="1"/>
      <w:numFmt w:val="bullet"/>
      <w:lvlText w:val=""/>
      <w:lvlJc w:val="left"/>
      <w:pPr>
        <w:ind w:left="720" w:hanging="360"/>
      </w:pPr>
      <w:rPr>
        <w:rFonts w:ascii="Symbol" w:hAnsi="Symbol" w:hint="default"/>
      </w:rPr>
    </w:lvl>
    <w:lvl w:ilvl="1" w:tplc="92509AA6">
      <w:start w:val="1"/>
      <w:numFmt w:val="bullet"/>
      <w:lvlText w:val="o"/>
      <w:lvlJc w:val="left"/>
      <w:pPr>
        <w:ind w:left="1440" w:hanging="360"/>
      </w:pPr>
      <w:rPr>
        <w:rFonts w:ascii="Courier New" w:hAnsi="Courier New" w:hint="default"/>
      </w:rPr>
    </w:lvl>
    <w:lvl w:ilvl="2" w:tplc="72268974">
      <w:start w:val="1"/>
      <w:numFmt w:val="bullet"/>
      <w:lvlText w:val=""/>
      <w:lvlJc w:val="left"/>
      <w:pPr>
        <w:ind w:left="2160" w:hanging="360"/>
      </w:pPr>
      <w:rPr>
        <w:rFonts w:ascii="Wingdings" w:hAnsi="Wingdings" w:hint="default"/>
      </w:rPr>
    </w:lvl>
    <w:lvl w:ilvl="3" w:tplc="C80021F6">
      <w:start w:val="1"/>
      <w:numFmt w:val="bullet"/>
      <w:lvlText w:val=""/>
      <w:lvlJc w:val="left"/>
      <w:pPr>
        <w:ind w:left="2880" w:hanging="360"/>
      </w:pPr>
      <w:rPr>
        <w:rFonts w:ascii="Symbol" w:hAnsi="Symbol" w:hint="default"/>
      </w:rPr>
    </w:lvl>
    <w:lvl w:ilvl="4" w:tplc="35B272C8">
      <w:start w:val="1"/>
      <w:numFmt w:val="bullet"/>
      <w:lvlText w:val="o"/>
      <w:lvlJc w:val="left"/>
      <w:pPr>
        <w:ind w:left="3600" w:hanging="360"/>
      </w:pPr>
      <w:rPr>
        <w:rFonts w:ascii="Courier New" w:hAnsi="Courier New" w:hint="default"/>
      </w:rPr>
    </w:lvl>
    <w:lvl w:ilvl="5" w:tplc="FFC01802">
      <w:start w:val="1"/>
      <w:numFmt w:val="bullet"/>
      <w:lvlText w:val=""/>
      <w:lvlJc w:val="left"/>
      <w:pPr>
        <w:ind w:left="4320" w:hanging="360"/>
      </w:pPr>
      <w:rPr>
        <w:rFonts w:ascii="Wingdings" w:hAnsi="Wingdings" w:hint="default"/>
      </w:rPr>
    </w:lvl>
    <w:lvl w:ilvl="6" w:tplc="71C2C05E">
      <w:start w:val="1"/>
      <w:numFmt w:val="bullet"/>
      <w:lvlText w:val=""/>
      <w:lvlJc w:val="left"/>
      <w:pPr>
        <w:ind w:left="5040" w:hanging="360"/>
      </w:pPr>
      <w:rPr>
        <w:rFonts w:ascii="Symbol" w:hAnsi="Symbol" w:hint="default"/>
      </w:rPr>
    </w:lvl>
    <w:lvl w:ilvl="7" w:tplc="5800869C">
      <w:start w:val="1"/>
      <w:numFmt w:val="bullet"/>
      <w:lvlText w:val="o"/>
      <w:lvlJc w:val="left"/>
      <w:pPr>
        <w:ind w:left="5760" w:hanging="360"/>
      </w:pPr>
      <w:rPr>
        <w:rFonts w:ascii="Courier New" w:hAnsi="Courier New" w:hint="default"/>
      </w:rPr>
    </w:lvl>
    <w:lvl w:ilvl="8" w:tplc="ADF63E9A">
      <w:start w:val="1"/>
      <w:numFmt w:val="bullet"/>
      <w:lvlText w:val=""/>
      <w:lvlJc w:val="left"/>
      <w:pPr>
        <w:ind w:left="6480" w:hanging="360"/>
      </w:pPr>
      <w:rPr>
        <w:rFonts w:ascii="Wingdings" w:hAnsi="Wingdings" w:hint="default"/>
      </w:rPr>
    </w:lvl>
  </w:abstractNum>
  <w:abstractNum w:abstractNumId="1" w15:restartNumberingAfterBreak="0">
    <w:nsid w:val="49426D1A"/>
    <w:multiLevelType w:val="hybridMultilevel"/>
    <w:tmpl w:val="64A46E98"/>
    <w:lvl w:ilvl="0" w:tplc="33722BA4">
      <w:start w:val="1"/>
      <w:numFmt w:val="bullet"/>
      <w:lvlText w:val=""/>
      <w:lvlJc w:val="left"/>
      <w:pPr>
        <w:ind w:left="720" w:hanging="360"/>
      </w:pPr>
      <w:rPr>
        <w:rFonts w:ascii="Symbol" w:hAnsi="Symbol" w:hint="default"/>
      </w:rPr>
    </w:lvl>
    <w:lvl w:ilvl="1" w:tplc="ACD4B480">
      <w:start w:val="1"/>
      <w:numFmt w:val="bullet"/>
      <w:lvlText w:val="o"/>
      <w:lvlJc w:val="left"/>
      <w:pPr>
        <w:ind w:left="1440" w:hanging="360"/>
      </w:pPr>
      <w:rPr>
        <w:rFonts w:ascii="Courier New" w:hAnsi="Courier New" w:hint="default"/>
      </w:rPr>
    </w:lvl>
    <w:lvl w:ilvl="2" w:tplc="321249E0">
      <w:start w:val="1"/>
      <w:numFmt w:val="bullet"/>
      <w:lvlText w:val=""/>
      <w:lvlJc w:val="left"/>
      <w:pPr>
        <w:ind w:left="2160" w:hanging="360"/>
      </w:pPr>
      <w:rPr>
        <w:rFonts w:ascii="Wingdings" w:hAnsi="Wingdings" w:hint="default"/>
      </w:rPr>
    </w:lvl>
    <w:lvl w:ilvl="3" w:tplc="A7446AAE">
      <w:start w:val="1"/>
      <w:numFmt w:val="bullet"/>
      <w:lvlText w:val=""/>
      <w:lvlJc w:val="left"/>
      <w:pPr>
        <w:ind w:left="2880" w:hanging="360"/>
      </w:pPr>
      <w:rPr>
        <w:rFonts w:ascii="Symbol" w:hAnsi="Symbol" w:hint="default"/>
      </w:rPr>
    </w:lvl>
    <w:lvl w:ilvl="4" w:tplc="30BAAE9E">
      <w:start w:val="1"/>
      <w:numFmt w:val="bullet"/>
      <w:lvlText w:val="o"/>
      <w:lvlJc w:val="left"/>
      <w:pPr>
        <w:ind w:left="3600" w:hanging="360"/>
      </w:pPr>
      <w:rPr>
        <w:rFonts w:ascii="Courier New" w:hAnsi="Courier New" w:hint="default"/>
      </w:rPr>
    </w:lvl>
    <w:lvl w:ilvl="5" w:tplc="569AE1F0">
      <w:start w:val="1"/>
      <w:numFmt w:val="bullet"/>
      <w:lvlText w:val=""/>
      <w:lvlJc w:val="left"/>
      <w:pPr>
        <w:ind w:left="4320" w:hanging="360"/>
      </w:pPr>
      <w:rPr>
        <w:rFonts w:ascii="Wingdings" w:hAnsi="Wingdings" w:hint="default"/>
      </w:rPr>
    </w:lvl>
    <w:lvl w:ilvl="6" w:tplc="639850E8">
      <w:start w:val="1"/>
      <w:numFmt w:val="bullet"/>
      <w:lvlText w:val=""/>
      <w:lvlJc w:val="left"/>
      <w:pPr>
        <w:ind w:left="5040" w:hanging="360"/>
      </w:pPr>
      <w:rPr>
        <w:rFonts w:ascii="Symbol" w:hAnsi="Symbol" w:hint="default"/>
      </w:rPr>
    </w:lvl>
    <w:lvl w:ilvl="7" w:tplc="4400272E">
      <w:start w:val="1"/>
      <w:numFmt w:val="bullet"/>
      <w:lvlText w:val="o"/>
      <w:lvlJc w:val="left"/>
      <w:pPr>
        <w:ind w:left="5760" w:hanging="360"/>
      </w:pPr>
      <w:rPr>
        <w:rFonts w:ascii="Courier New" w:hAnsi="Courier New" w:hint="default"/>
      </w:rPr>
    </w:lvl>
    <w:lvl w:ilvl="8" w:tplc="8ABA961E">
      <w:start w:val="1"/>
      <w:numFmt w:val="bullet"/>
      <w:lvlText w:val=""/>
      <w:lvlJc w:val="left"/>
      <w:pPr>
        <w:ind w:left="6480" w:hanging="360"/>
      </w:pPr>
      <w:rPr>
        <w:rFonts w:ascii="Wingdings" w:hAnsi="Wingdings" w:hint="default"/>
      </w:rPr>
    </w:lvl>
  </w:abstractNum>
  <w:abstractNum w:abstractNumId="2" w15:restartNumberingAfterBreak="0">
    <w:nsid w:val="79DD18D7"/>
    <w:multiLevelType w:val="hybridMultilevel"/>
    <w:tmpl w:val="8AF8DA3C"/>
    <w:lvl w:ilvl="0" w:tplc="B388F4D2">
      <w:start w:val="1"/>
      <w:numFmt w:val="bullet"/>
      <w:lvlText w:val=""/>
      <w:lvlJc w:val="left"/>
      <w:pPr>
        <w:ind w:left="720" w:hanging="360"/>
      </w:pPr>
      <w:rPr>
        <w:rFonts w:ascii="Symbol" w:hAnsi="Symbol" w:hint="default"/>
      </w:rPr>
    </w:lvl>
    <w:lvl w:ilvl="1" w:tplc="CBB2F534">
      <w:start w:val="1"/>
      <w:numFmt w:val="bullet"/>
      <w:lvlText w:val="o"/>
      <w:lvlJc w:val="left"/>
      <w:pPr>
        <w:ind w:left="1440" w:hanging="360"/>
      </w:pPr>
      <w:rPr>
        <w:rFonts w:ascii="Courier New" w:hAnsi="Courier New" w:hint="default"/>
      </w:rPr>
    </w:lvl>
    <w:lvl w:ilvl="2" w:tplc="8E8ADF94">
      <w:start w:val="1"/>
      <w:numFmt w:val="bullet"/>
      <w:lvlText w:val=""/>
      <w:lvlJc w:val="left"/>
      <w:pPr>
        <w:ind w:left="2160" w:hanging="360"/>
      </w:pPr>
      <w:rPr>
        <w:rFonts w:ascii="Wingdings" w:hAnsi="Wingdings" w:hint="default"/>
      </w:rPr>
    </w:lvl>
    <w:lvl w:ilvl="3" w:tplc="F12A9F62">
      <w:start w:val="1"/>
      <w:numFmt w:val="bullet"/>
      <w:lvlText w:val=""/>
      <w:lvlJc w:val="left"/>
      <w:pPr>
        <w:ind w:left="2880" w:hanging="360"/>
      </w:pPr>
      <w:rPr>
        <w:rFonts w:ascii="Symbol" w:hAnsi="Symbol" w:hint="default"/>
      </w:rPr>
    </w:lvl>
    <w:lvl w:ilvl="4" w:tplc="14A2104A">
      <w:start w:val="1"/>
      <w:numFmt w:val="bullet"/>
      <w:lvlText w:val="o"/>
      <w:lvlJc w:val="left"/>
      <w:pPr>
        <w:ind w:left="3600" w:hanging="360"/>
      </w:pPr>
      <w:rPr>
        <w:rFonts w:ascii="Courier New" w:hAnsi="Courier New" w:hint="default"/>
      </w:rPr>
    </w:lvl>
    <w:lvl w:ilvl="5" w:tplc="2C8C4C0E">
      <w:start w:val="1"/>
      <w:numFmt w:val="bullet"/>
      <w:lvlText w:val=""/>
      <w:lvlJc w:val="left"/>
      <w:pPr>
        <w:ind w:left="4320" w:hanging="360"/>
      </w:pPr>
      <w:rPr>
        <w:rFonts w:ascii="Wingdings" w:hAnsi="Wingdings" w:hint="default"/>
      </w:rPr>
    </w:lvl>
    <w:lvl w:ilvl="6" w:tplc="1010A160">
      <w:start w:val="1"/>
      <w:numFmt w:val="bullet"/>
      <w:lvlText w:val=""/>
      <w:lvlJc w:val="left"/>
      <w:pPr>
        <w:ind w:left="5040" w:hanging="360"/>
      </w:pPr>
      <w:rPr>
        <w:rFonts w:ascii="Symbol" w:hAnsi="Symbol" w:hint="default"/>
      </w:rPr>
    </w:lvl>
    <w:lvl w:ilvl="7" w:tplc="72FA498A">
      <w:start w:val="1"/>
      <w:numFmt w:val="bullet"/>
      <w:lvlText w:val="o"/>
      <w:lvlJc w:val="left"/>
      <w:pPr>
        <w:ind w:left="5760" w:hanging="360"/>
      </w:pPr>
      <w:rPr>
        <w:rFonts w:ascii="Courier New" w:hAnsi="Courier New" w:hint="default"/>
      </w:rPr>
    </w:lvl>
    <w:lvl w:ilvl="8" w:tplc="8DBE3076">
      <w:start w:val="1"/>
      <w:numFmt w:val="bullet"/>
      <w:lvlText w:val=""/>
      <w:lvlJc w:val="left"/>
      <w:pPr>
        <w:ind w:left="6480" w:hanging="360"/>
      </w:pPr>
      <w:rPr>
        <w:rFonts w:ascii="Wingdings" w:hAnsi="Wingdings" w:hint="default"/>
      </w:rPr>
    </w:lvl>
  </w:abstractNum>
  <w:num w:numId="1" w16cid:durableId="84814756">
    <w:abstractNumId w:val="2"/>
  </w:num>
  <w:num w:numId="2" w16cid:durableId="1777940408">
    <w:abstractNumId w:val="1"/>
  </w:num>
  <w:num w:numId="3" w16cid:durableId="1940285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59EE62"/>
    <w:rsid w:val="00801C32"/>
    <w:rsid w:val="00D668B4"/>
    <w:rsid w:val="010026F7"/>
    <w:rsid w:val="0B570431"/>
    <w:rsid w:val="0E305B96"/>
    <w:rsid w:val="1FEB31A1"/>
    <w:rsid w:val="26CB38A6"/>
    <w:rsid w:val="468DE79F"/>
    <w:rsid w:val="4C5F6614"/>
    <w:rsid w:val="4D52428B"/>
    <w:rsid w:val="51D5AE5F"/>
    <w:rsid w:val="53EF680D"/>
    <w:rsid w:val="5E1947C5"/>
    <w:rsid w:val="5E769CC8"/>
    <w:rsid w:val="60D4DEA2"/>
    <w:rsid w:val="63008E0D"/>
    <w:rsid w:val="6B59EE62"/>
    <w:rsid w:val="6C188B42"/>
    <w:rsid w:val="735D6F2E"/>
    <w:rsid w:val="77AE15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6BEF"/>
  <w15:chartTrackingRefBased/>
  <w15:docId w15:val="{1B4B7363-E6AC-4674-B356-9571B37B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pt-BR"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1423</Words>
  <Characters>8115</Characters>
  <Application>Microsoft Office Word</Application>
  <DocSecurity>0</DocSecurity>
  <Lines>67</Lines>
  <Paragraphs>19</Paragraphs>
  <ScaleCrop>false</ScaleCrop>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Viet Tran</cp:lastModifiedBy>
  <cp:revision>3</cp:revision>
  <dcterms:created xsi:type="dcterms:W3CDTF">2024-02-02T15:52:00Z</dcterms:created>
  <dcterms:modified xsi:type="dcterms:W3CDTF">2024-05-13T04:06:00Z</dcterms:modified>
</cp:coreProperties>
</file>