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Proprietário da campanha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 Nome da Campanha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Data de lançamento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Tipo de campanha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Orçamento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usuários direcionados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Usuários envolvidos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Dias desde o lançamento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no final de jan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27 de 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US$ 6.980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1296,00%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Outdoors pequenos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US$ 250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US$ 4.732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1792,80%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Outdoors grandes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3-Fev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US$ 4.500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US$ 5.632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25,16%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Análise do produto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16 de jan.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CEIP (Programas de Aperfeiçoamento da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US$ 2.750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US$ 5.676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5.418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106,40%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Direcionado - Grupo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US$ 5.800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-97,66%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Outdoors pequenos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US$ 8.703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2\.500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987,88%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Conferência do setor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23-Fev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CEIP (Programas de Aperfeiçoamento da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US$ 600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US$ 4.540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656,67%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Direcionado - Grupo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25-Fev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2\.000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-1,50%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Norte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11-Fev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US$ 12.423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2384,60%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Sul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13 de mar.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US$ 9.293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3.687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1758,60%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Oeste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22-Mar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US$ 16.342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5\.278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1.029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3168,40%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Menção do produto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6-Fev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CEIP (Programas de Aperfeiçoamento da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US$ 635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US$ 2.208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55.000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1.470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247,72%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Tipo de campanha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Média do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1418,07%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de marca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935,28%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CEIP (Programas de Aperfeiçoamento da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336,93%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Grande Total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1027,09%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ipo de gráfico: barras clusterizado. &quot;ROI&quot; por &quot;Tipo de campanha&quot;&#10;&#10;Descrição gerada automaticamente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 Nome da Campanha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Somatório da receita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Oeste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US$ 16.342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Outdoors pequenos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US$ 13.435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Norte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US$ 12.423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Sul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US$ 9.293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no final de jan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US$ 6.980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Análise do produto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US$ 5.676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Outdoors grandes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US$ 5.632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Conferência do setor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US$ 4.540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Menção do produto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US$ 2.208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Direcionado - Grupo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Direcionado - Grupo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Grande Total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US$ 77.453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ipo de gráfico: barras clusterizado. &quot;Receita&quot; por &quot;Nome de campanha&quot;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ipo de gráfico: linha. &quot;Orçamento&quot; por &quot;Data de lançamento&quot;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Tipo de gráfico: barras clusterizado. &quot;Dias desde o lançamento&quot;: 375 tem &quot;Usuários engajados&quot; visivelmente mais altos.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Tipo de gráfico: rosca. &quot;Tipo de campanha&quot;: o marketing digital é responsável pela maior parte da &quot;Receita&quot;.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ipo de gráfico: barras clusterizado. &quot;Total de usuários direcionados&quot; por &quot;Tipo de campanha&quot;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Tipo de gráfico: barras empilhadas. &quot;Nome da campanha&quot;: Segmentado – O Grupo 1 e os outdoors grandes têm um &quot;Orçamento&quot; visivelmente mais alto.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ipo de gráfico: histograma. Frequência de &quot;Receita&quot;&#10;&#10;Descrição gerada automaticamente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Tipo de gráfico: histograma. Frequência de &quot;Receita&quot;&#10;&#10;Descrição gerada automaticamente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