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CACE" w14:textId="77777777" w:rsidR="00805B29" w:rsidRDefault="00000000">
      <w:pPr>
        <w:pStyle w:val="Title"/>
      </w:pPr>
      <w:r>
        <w:t>EcoSense 360 RFP Response Agent – Cross-Functional Refinement Meeting Transcript</w:t>
      </w:r>
    </w:p>
    <w:p w14:paraId="4488813D" w14:textId="77777777" w:rsidR="00805B29" w:rsidRDefault="00000000">
      <w:pPr>
        <w:pStyle w:val="Heading1"/>
      </w:pPr>
      <w:r>
        <w:t>Attendees</w:t>
      </w:r>
    </w:p>
    <w:p w14:paraId="43D2CC9D" w14:textId="5728E50A" w:rsidR="00805B29" w:rsidRDefault="00000000">
      <w:r>
        <w:t xml:space="preserve">• </w:t>
      </w:r>
      <w:r w:rsidR="003D77DA">
        <w:t>Riley Ramirez</w:t>
      </w:r>
      <w:r>
        <w:t xml:space="preserve"> – Sales </w:t>
      </w:r>
      <w:r w:rsidR="003D77DA">
        <w:t>Director for Hospitality</w:t>
      </w:r>
      <w:r>
        <w:t xml:space="preserve"> (Facilitator)</w:t>
      </w:r>
    </w:p>
    <w:p w14:paraId="09007982" w14:textId="35D13FC5" w:rsidR="00805B29" w:rsidRDefault="00000000">
      <w:r>
        <w:t xml:space="preserve">• </w:t>
      </w:r>
      <w:r w:rsidR="003D77DA">
        <w:t>Robin Kline</w:t>
      </w:r>
      <w:r>
        <w:t xml:space="preserve"> – </w:t>
      </w:r>
      <w:r w:rsidR="003D77DA">
        <w:t xml:space="preserve">Senior </w:t>
      </w:r>
      <w:r>
        <w:t xml:space="preserve">Sales </w:t>
      </w:r>
      <w:r w:rsidR="003D77DA">
        <w:t>Executive</w:t>
      </w:r>
      <w:r>
        <w:t xml:space="preserve"> (Hospitality)</w:t>
      </w:r>
    </w:p>
    <w:p w14:paraId="724214DD" w14:textId="4B443FAF" w:rsidR="00805B29" w:rsidRDefault="00000000">
      <w:r>
        <w:t xml:space="preserve">• </w:t>
      </w:r>
      <w:r w:rsidR="003D77DA">
        <w:t>Avery Howard</w:t>
      </w:r>
      <w:r>
        <w:t xml:space="preserve"> – Product Manager (EcoSense 360)</w:t>
      </w:r>
    </w:p>
    <w:p w14:paraId="6C275BAB" w14:textId="739B6B83" w:rsidR="00805B29" w:rsidRDefault="00000000">
      <w:r>
        <w:t xml:space="preserve">• </w:t>
      </w:r>
      <w:r w:rsidR="003D77DA">
        <w:t>Mario Rogers</w:t>
      </w:r>
      <w:r>
        <w:t xml:space="preserve"> – Engineering Lead (Integrations)</w:t>
      </w:r>
    </w:p>
    <w:p w14:paraId="3CF492DA" w14:textId="18805CF8" w:rsidR="00805B29" w:rsidRDefault="00000000">
      <w:r>
        <w:t xml:space="preserve">• </w:t>
      </w:r>
      <w:r w:rsidR="003D77DA">
        <w:t>Jacob Hancock</w:t>
      </w:r>
      <w:r>
        <w:t xml:space="preserve"> – Solutions Architect (Security &amp; Compliance)</w:t>
      </w:r>
    </w:p>
    <w:p w14:paraId="0DB2860C" w14:textId="11F320F9" w:rsidR="00805B29" w:rsidRDefault="00000000">
      <w:r>
        <w:t xml:space="preserve">• </w:t>
      </w:r>
      <w:r w:rsidR="003D77DA">
        <w:t>Nicole Wagner</w:t>
      </w:r>
      <w:r>
        <w:t xml:space="preserve"> – Pricing &amp; Commercials</w:t>
      </w:r>
    </w:p>
    <w:p w14:paraId="14CD2D77" w14:textId="635D851B" w:rsidR="00805B29" w:rsidRDefault="00000000">
      <w:r>
        <w:t xml:space="preserve">• </w:t>
      </w:r>
      <w:r w:rsidR="003D77DA">
        <w:t>Kayla Lewis</w:t>
      </w:r>
      <w:r>
        <w:t xml:space="preserve"> – Customer Success</w:t>
      </w:r>
    </w:p>
    <w:p w14:paraId="1E55DD10" w14:textId="77777777" w:rsidR="00805B29" w:rsidRDefault="00000000">
      <w:pPr>
        <w:pStyle w:val="Heading1"/>
      </w:pPr>
      <w:r>
        <w:t>Agenda</w:t>
      </w:r>
    </w:p>
    <w:p w14:paraId="5F0E7671" w14:textId="77777777" w:rsidR="00805B29" w:rsidRDefault="00000000">
      <w:r>
        <w:t>• Review agent’s Q&amp;A accuracy and completeness</w:t>
      </w:r>
    </w:p>
    <w:p w14:paraId="48E2BFC4" w14:textId="77777777" w:rsidR="00805B29" w:rsidRDefault="00000000">
      <w:r>
        <w:t>• Evaluate template-based RFP document generation</w:t>
      </w:r>
    </w:p>
    <w:p w14:paraId="3DE39F90" w14:textId="77777777" w:rsidR="00805B29" w:rsidRDefault="00000000">
      <w:r>
        <w:t>• Identify content gaps and compliance/pricing nuances</w:t>
      </w:r>
    </w:p>
    <w:p w14:paraId="606D3D97" w14:textId="77777777" w:rsidR="00805B29" w:rsidRDefault="00000000">
      <w:r>
        <w:t>• Agree on improvement actions, owners, and timelines</w:t>
      </w:r>
    </w:p>
    <w:p w14:paraId="59E0A15F" w14:textId="77777777" w:rsidR="00805B29" w:rsidRDefault="00000000">
      <w:pPr>
        <w:pStyle w:val="Heading1"/>
      </w:pPr>
      <w:r>
        <w:t>Transcript (edited for clarity)</w:t>
      </w:r>
    </w:p>
    <w:p w14:paraId="199B9959" w14:textId="13C26067" w:rsidR="00805B29" w:rsidRDefault="00000000">
      <w:r>
        <w:rPr>
          <w:b/>
        </w:rPr>
        <w:t xml:space="preserve">[09:00]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Thanks everyone for joining. Today we’ll review the first version of the EcoSense 360 RFP Response Agent. We’ll focus on Q&amp;A accuracy, the generated RFP document, and prioritize improvements.</w:t>
      </w:r>
    </w:p>
    <w:p w14:paraId="0156AB06" w14:textId="5D5A5213" w:rsidR="00805B29" w:rsidRDefault="00000000">
      <w:r>
        <w:rPr>
          <w:b/>
        </w:rPr>
        <w:t xml:space="preserve">[09:01] </w:t>
      </w:r>
      <w:r w:rsidR="003D77DA">
        <w:rPr>
          <w:b/>
        </w:rPr>
        <w:t>Robin</w:t>
      </w:r>
      <w:r>
        <w:rPr>
          <w:b/>
        </w:rPr>
        <w:t xml:space="preserve"> (Sales): </w:t>
      </w:r>
      <w:r>
        <w:t>From the sales perspective, the executive summary is solid but could be more buyer-outcome focused. Luxury hotels care about guest experience and brand reputation; midscale chains care about operational cost savings and quick rollouts.</w:t>
      </w:r>
    </w:p>
    <w:p w14:paraId="74EBC7CA" w14:textId="41B1CCC0" w:rsidR="00805B29" w:rsidRDefault="00000000">
      <w:r>
        <w:rPr>
          <w:b/>
        </w:rPr>
        <w:t xml:space="preserve">[09:03] </w:t>
      </w:r>
      <w:r w:rsidR="003D77DA">
        <w:rPr>
          <w:b/>
        </w:rPr>
        <w:t>Avery</w:t>
      </w:r>
      <w:r>
        <w:rPr>
          <w:b/>
        </w:rPr>
        <w:t xml:space="preserve"> (PM): </w:t>
      </w:r>
      <w:r>
        <w:t>Agreed. The agent pulls product facts correctly, but the tone can vary. We should enable tone presets—formal for government RFPs, persuasive for luxury, and pragmatic for midscale.</w:t>
      </w:r>
    </w:p>
    <w:p w14:paraId="145C7C95" w14:textId="2673179A" w:rsidR="00805B29" w:rsidRDefault="00000000">
      <w:r>
        <w:rPr>
          <w:b/>
        </w:rPr>
        <w:lastRenderedPageBreak/>
        <w:t xml:space="preserve">[09:05] </w:t>
      </w:r>
      <w:r w:rsidR="003D77DA">
        <w:rPr>
          <w:b/>
        </w:rPr>
        <w:t>Mario</w:t>
      </w:r>
      <w:r>
        <w:rPr>
          <w:b/>
        </w:rPr>
        <w:t xml:space="preserve"> (Engineering): </w:t>
      </w:r>
      <w:r>
        <w:t>On integrations, the agent mentions PMS support broadly. It needs explicit callouts: supported PMS vendors, supported APIs (REST, GraphQL), eventing, and data flow diagrams. Also specify authentication methods and rate limits where documented.</w:t>
      </w:r>
    </w:p>
    <w:p w14:paraId="3B242A3C" w14:textId="0BD2C8E6" w:rsidR="00805B29" w:rsidRDefault="00000000">
      <w:r>
        <w:rPr>
          <w:b/>
        </w:rPr>
        <w:t xml:space="preserve">[09:07] </w:t>
      </w:r>
      <w:r w:rsidR="003D77DA">
        <w:rPr>
          <w:b/>
        </w:rPr>
        <w:t>Jacob</w:t>
      </w:r>
      <w:r>
        <w:rPr>
          <w:b/>
        </w:rPr>
        <w:t xml:space="preserve"> (Security): </w:t>
      </w:r>
      <w:r>
        <w:t>Compliance cites ISO 27001 and SOC 2 Type II correctly, but regional elements are missing. For EU buyers, include GDPR processing details and data residency options; for the Middle East, call out local data hosting patterns if available.</w:t>
      </w:r>
    </w:p>
    <w:p w14:paraId="75750BEC" w14:textId="5E57C4BF" w:rsidR="00805B29" w:rsidRDefault="00000000">
      <w:r>
        <w:rPr>
          <w:b/>
        </w:rPr>
        <w:t xml:space="preserve">[09:09] </w:t>
      </w:r>
      <w:r w:rsidR="003D77DA">
        <w:rPr>
          <w:b/>
        </w:rPr>
        <w:t>Nicole</w:t>
      </w:r>
      <w:r>
        <w:rPr>
          <w:b/>
        </w:rPr>
        <w:t xml:space="preserve"> (Commercials): </w:t>
      </w:r>
      <w:r>
        <w:t xml:space="preserve">Pricing sections are </w:t>
      </w:r>
      <w:proofErr w:type="spellStart"/>
      <w:r>
        <w:t>for</w:t>
      </w:r>
      <w:r w:rsidR="003D77DA">
        <w:t>Jacob</w:t>
      </w:r>
      <w:r>
        <w:t>ed</w:t>
      </w:r>
      <w:proofErr w:type="spellEnd"/>
      <w:r>
        <w:t>, but assumptions aren’t explicit. We should add volume tiers, bundle SKUs, and a clear flag for anything that needs Legal review—discounts above X%, payment terms, termination clauses.</w:t>
      </w:r>
    </w:p>
    <w:p w14:paraId="26574B8E" w14:textId="403B0991" w:rsidR="00805B29" w:rsidRDefault="00000000">
      <w:r>
        <w:rPr>
          <w:b/>
        </w:rPr>
        <w:t xml:space="preserve">[09:11] </w:t>
      </w:r>
      <w:r w:rsidR="003D77DA">
        <w:rPr>
          <w:b/>
        </w:rPr>
        <w:t>Kayla</w:t>
      </w:r>
      <w:r>
        <w:rPr>
          <w:b/>
        </w:rPr>
        <w:t xml:space="preserve"> (Customer Success): </w:t>
      </w:r>
      <w:r>
        <w:t>Case studies read well. Could we add a midscale hotel example to balance the luxury case? Also include measurable KPIs: energy reduction %, payback period, and support responsiveness stats.</w:t>
      </w:r>
    </w:p>
    <w:p w14:paraId="7DFA52EF" w14:textId="4732CE61" w:rsidR="00805B29" w:rsidRDefault="00000000">
      <w:r>
        <w:rPr>
          <w:b/>
        </w:rPr>
        <w:t xml:space="preserve">[09:13]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Let’s capture these as improvement actions: tone presets, explicit integration details, regional compliance, pricing assumptions and flags, additional case study, and KPI consistency.</w:t>
      </w:r>
    </w:p>
    <w:p w14:paraId="074C9E8D" w14:textId="18E170B1" w:rsidR="00805B29" w:rsidRDefault="00000000">
      <w:r>
        <w:rPr>
          <w:b/>
        </w:rPr>
        <w:t xml:space="preserve">[09:15] </w:t>
      </w:r>
      <w:r w:rsidR="003D77DA">
        <w:rPr>
          <w:b/>
        </w:rPr>
        <w:t>Mario</w:t>
      </w:r>
      <w:r>
        <w:rPr>
          <w:b/>
        </w:rPr>
        <w:t xml:space="preserve"> (Engineering): </w:t>
      </w:r>
      <w:r>
        <w:t xml:space="preserve">One </w:t>
      </w:r>
      <w:proofErr w:type="gramStart"/>
      <w:r>
        <w:t>more</w:t>
      </w:r>
      <w:proofErr w:type="gramEnd"/>
      <w:r>
        <w:t>: the agent should handle clarifying questions. If an RFP asks about a legacy PMS not in the compatibility list, it should prompt: ‘Please confirm PMS version and module set,’ and suggest a fallback via middleware.</w:t>
      </w:r>
    </w:p>
    <w:p w14:paraId="216B474A" w14:textId="300F0430" w:rsidR="00805B29" w:rsidRDefault="00000000">
      <w:r>
        <w:rPr>
          <w:b/>
        </w:rPr>
        <w:t xml:space="preserve">[09:17] </w:t>
      </w:r>
      <w:r w:rsidR="003D77DA">
        <w:rPr>
          <w:b/>
        </w:rPr>
        <w:t>Avery</w:t>
      </w:r>
      <w:r>
        <w:rPr>
          <w:b/>
        </w:rPr>
        <w:t xml:space="preserve"> (PM): </w:t>
      </w:r>
      <w:r>
        <w:t>Template-wise, I propose adding a dedicated ‘Sustainability &amp; ESG’ section. Many RFPs now ask for carbon impact and reporting. We have relevant statements in the Compliance Summary and Specs.</w:t>
      </w:r>
    </w:p>
    <w:p w14:paraId="2B9AA0F9" w14:textId="305CE54D" w:rsidR="00805B29" w:rsidRDefault="00000000">
      <w:r>
        <w:rPr>
          <w:b/>
        </w:rPr>
        <w:t xml:space="preserve">[09:19] </w:t>
      </w:r>
      <w:r w:rsidR="003D77DA">
        <w:rPr>
          <w:b/>
        </w:rPr>
        <w:t>Jacob</w:t>
      </w:r>
      <w:r>
        <w:rPr>
          <w:b/>
        </w:rPr>
        <w:t xml:space="preserve"> (Security): </w:t>
      </w:r>
      <w:r>
        <w:t>For the compliance matrix, let’s ensure it maps RFP asks to specific controls and certifications with citation lines, e.g., ‘Compliance Certification Summary – ISO 27001 Annex A; Technical Specs – Data Security.’</w:t>
      </w:r>
    </w:p>
    <w:p w14:paraId="661E480C" w14:textId="7004B0EE" w:rsidR="00805B29" w:rsidRDefault="00000000">
      <w:r>
        <w:rPr>
          <w:b/>
        </w:rPr>
        <w:t xml:space="preserve">[09:21] </w:t>
      </w:r>
      <w:r w:rsidR="003D77DA">
        <w:rPr>
          <w:b/>
        </w:rPr>
        <w:t>Robin</w:t>
      </w:r>
      <w:r>
        <w:rPr>
          <w:b/>
        </w:rPr>
        <w:t xml:space="preserve"> (Sales): </w:t>
      </w:r>
      <w:r>
        <w:t>Tone customization should also tweak benefit framing. For luxury: guest experience and brand, for resorts: sustainability and regulatory compliance, for midscale: cost savings and speed-to-value.</w:t>
      </w:r>
    </w:p>
    <w:p w14:paraId="32BEDB2A" w14:textId="3DA4E5A1" w:rsidR="00805B29" w:rsidRDefault="00000000">
      <w:r>
        <w:rPr>
          <w:b/>
        </w:rPr>
        <w:t xml:space="preserve">[09:23] </w:t>
      </w:r>
      <w:r w:rsidR="003D77DA">
        <w:rPr>
          <w:b/>
        </w:rPr>
        <w:t>Nicole</w:t>
      </w:r>
      <w:r>
        <w:rPr>
          <w:b/>
        </w:rPr>
        <w:t xml:space="preserve"> (Commercials): </w:t>
      </w:r>
      <w:r>
        <w:t xml:space="preserve">Pricing needs a standard assumptions block: currency (USD by default), tax treatment, </w:t>
      </w:r>
      <w:proofErr w:type="gramStart"/>
      <w:r>
        <w:t>implementation effort</w:t>
      </w:r>
      <w:proofErr w:type="gramEnd"/>
      <w:r>
        <w:t xml:space="preserve"> ranges, optional services, and discount policy. Anything beyond policy should auto-tag as ‘[Requires Commercial/Legal Review]’.</w:t>
      </w:r>
    </w:p>
    <w:p w14:paraId="5EEA95D3" w14:textId="54230910" w:rsidR="00805B29" w:rsidRDefault="00000000">
      <w:r>
        <w:rPr>
          <w:b/>
        </w:rPr>
        <w:t xml:space="preserve">[09:25] </w:t>
      </w:r>
      <w:r w:rsidR="003D77DA">
        <w:rPr>
          <w:b/>
        </w:rPr>
        <w:t>Kayla</w:t>
      </w:r>
      <w:r>
        <w:rPr>
          <w:b/>
        </w:rPr>
        <w:t xml:space="preserve"> (Customer Success): </w:t>
      </w:r>
      <w:r>
        <w:t>Add a ‘Customer Readiness Checklist’ appendix—property count, regions, network constraints, data privacy requirements, and change management readiness. The agent can insert ‘[Needs Customer Input]’ where data is missing.</w:t>
      </w:r>
    </w:p>
    <w:p w14:paraId="6882A900" w14:textId="1F6F48C9" w:rsidR="00805B29" w:rsidRDefault="00000000">
      <w:r>
        <w:rPr>
          <w:b/>
        </w:rPr>
        <w:lastRenderedPageBreak/>
        <w:t xml:space="preserve">[09:27]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What about consistency in terminology?</w:t>
      </w:r>
    </w:p>
    <w:p w14:paraId="779A4DAC" w14:textId="3777E735" w:rsidR="00805B29" w:rsidRDefault="00000000">
      <w:r>
        <w:rPr>
          <w:b/>
        </w:rPr>
        <w:t xml:space="preserve">[09:28] </w:t>
      </w:r>
      <w:r w:rsidR="003D77DA">
        <w:rPr>
          <w:b/>
        </w:rPr>
        <w:t>Avery</w:t>
      </w:r>
      <w:r>
        <w:rPr>
          <w:b/>
        </w:rPr>
        <w:t xml:space="preserve"> (PM): </w:t>
      </w:r>
      <w:r>
        <w:t xml:space="preserve">Let’s standardize </w:t>
      </w:r>
      <w:proofErr w:type="gramStart"/>
      <w:r>
        <w:t>terms: ‘</w:t>
      </w:r>
      <w:proofErr w:type="gramEnd"/>
      <w:r>
        <w:t>energy management platform</w:t>
      </w:r>
      <w:proofErr w:type="gramStart"/>
      <w:r>
        <w:t>’, ‘</w:t>
      </w:r>
      <w:proofErr w:type="gramEnd"/>
      <w:r>
        <w:t>integration via REST API</w:t>
      </w:r>
      <w:proofErr w:type="gramStart"/>
      <w:r>
        <w:t>’, ‘</w:t>
      </w:r>
      <w:proofErr w:type="gramEnd"/>
      <w:r>
        <w:t>data residency options</w:t>
      </w:r>
      <w:proofErr w:type="gramStart"/>
      <w:r>
        <w:t>’, ‘SLAs’</w:t>
      </w:r>
      <w:proofErr w:type="gramEnd"/>
      <w:r>
        <w:t>. The agent should prefer canonical phrasing from the Technical Specifications.</w:t>
      </w:r>
    </w:p>
    <w:p w14:paraId="75A2B62B" w14:textId="567407BA" w:rsidR="00805B29" w:rsidRDefault="00000000">
      <w:r>
        <w:rPr>
          <w:b/>
        </w:rPr>
        <w:t xml:space="preserve">[09:30] </w:t>
      </w:r>
      <w:r w:rsidR="003D77DA">
        <w:rPr>
          <w:b/>
        </w:rPr>
        <w:t>Mario</w:t>
      </w:r>
      <w:r>
        <w:rPr>
          <w:b/>
        </w:rPr>
        <w:t xml:space="preserve"> (Engineering): </w:t>
      </w:r>
      <w:r>
        <w:t>We should add supported event schemas and webhook retry policies to the Integration section, plus rate-limit guidance. These exist in the Integration Guide.</w:t>
      </w:r>
    </w:p>
    <w:p w14:paraId="7E338508" w14:textId="79EBCA8B" w:rsidR="00805B29" w:rsidRDefault="00000000">
      <w:r>
        <w:rPr>
          <w:b/>
        </w:rPr>
        <w:t xml:space="preserve">[09:32] </w:t>
      </w:r>
      <w:r w:rsidR="003D77DA">
        <w:rPr>
          <w:b/>
        </w:rPr>
        <w:t>Jacob</w:t>
      </w:r>
      <w:r>
        <w:rPr>
          <w:b/>
        </w:rPr>
        <w:t xml:space="preserve"> (Security): </w:t>
      </w:r>
      <w:r>
        <w:t>Include breach notification timelines and privacy request handling processes. They’re in the security appendix; the agent currently ignores them.</w:t>
      </w:r>
    </w:p>
    <w:p w14:paraId="19837606" w14:textId="6C865655" w:rsidR="00805B29" w:rsidRDefault="00000000">
      <w:r>
        <w:rPr>
          <w:b/>
        </w:rPr>
        <w:t xml:space="preserve">[09:34] </w:t>
      </w:r>
      <w:r w:rsidR="003D77DA">
        <w:rPr>
          <w:b/>
        </w:rPr>
        <w:t>Robin</w:t>
      </w:r>
      <w:r>
        <w:rPr>
          <w:b/>
        </w:rPr>
        <w:t xml:space="preserve"> (Sales): </w:t>
      </w:r>
      <w:r>
        <w:t>Could the agent produce a 5-slide executive deck summarizing the RFP response? That helps leadership quickly review before submission.</w:t>
      </w:r>
    </w:p>
    <w:p w14:paraId="6353903B" w14:textId="65672B88" w:rsidR="00805B29" w:rsidRDefault="00000000">
      <w:r>
        <w:rPr>
          <w:b/>
        </w:rPr>
        <w:t xml:space="preserve">[09:36]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Good idea—let’s treat that as a creative bonus output.</w:t>
      </w:r>
    </w:p>
    <w:p w14:paraId="17D10F49" w14:textId="70FC8067" w:rsidR="00805B29" w:rsidRDefault="00000000">
      <w:r>
        <w:rPr>
          <w:b/>
        </w:rPr>
        <w:t xml:space="preserve">[09:37] </w:t>
      </w:r>
      <w:r w:rsidR="003D77DA">
        <w:rPr>
          <w:b/>
        </w:rPr>
        <w:t>Nicole</w:t>
      </w:r>
      <w:r>
        <w:rPr>
          <w:b/>
        </w:rPr>
        <w:t xml:space="preserve"> (Commercials): </w:t>
      </w:r>
      <w:r>
        <w:t>Pricing tables should show tiers and unit costs, but also a notes column for assumptions like minimum property count. We can maintain consistency across responses.</w:t>
      </w:r>
    </w:p>
    <w:p w14:paraId="4A4433EB" w14:textId="595013E5" w:rsidR="00805B29" w:rsidRDefault="00000000">
      <w:r>
        <w:rPr>
          <w:b/>
        </w:rPr>
        <w:t xml:space="preserve">[09:39] </w:t>
      </w:r>
      <w:r w:rsidR="003D77DA">
        <w:rPr>
          <w:b/>
        </w:rPr>
        <w:t>Kayla</w:t>
      </w:r>
      <w:r>
        <w:rPr>
          <w:b/>
        </w:rPr>
        <w:t xml:space="preserve"> (Customer Success): </w:t>
      </w:r>
      <w:r>
        <w:t>For implementation planning, include a phased rollout table and role matrix. The agent should default to a typical 12–16 week plan with clearly marked assumptions.</w:t>
      </w:r>
    </w:p>
    <w:p w14:paraId="35889464" w14:textId="74C878DE" w:rsidR="00805B29" w:rsidRDefault="00000000">
      <w:r>
        <w:rPr>
          <w:b/>
        </w:rPr>
        <w:t xml:space="preserve">[09:41] </w:t>
      </w:r>
      <w:r w:rsidR="003D77DA">
        <w:rPr>
          <w:b/>
        </w:rPr>
        <w:t>Avery</w:t>
      </w:r>
      <w:r>
        <w:rPr>
          <w:b/>
        </w:rPr>
        <w:t xml:space="preserve"> (PM): </w:t>
      </w:r>
      <w:r>
        <w:t>Let’s add a competitive differentiators section—non-disparaging, factual claims: integration breadth, analytics depth, sustainability reporting, and customer support metrics.</w:t>
      </w:r>
    </w:p>
    <w:p w14:paraId="53B187E2" w14:textId="450EB903" w:rsidR="00805B29" w:rsidRDefault="00000000">
      <w:r>
        <w:rPr>
          <w:b/>
        </w:rPr>
        <w:t xml:space="preserve">[09:43]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Action owners: Engineering for integrations, PM for template and terminology, Security for regional compliance, Commercials for pricing policy, CS for case study and KPIs, Sales for tone presets and decks.</w:t>
      </w:r>
    </w:p>
    <w:p w14:paraId="5CB6D4D9" w14:textId="7E9AD4E0" w:rsidR="00805B29" w:rsidRDefault="00000000">
      <w:r>
        <w:rPr>
          <w:b/>
        </w:rPr>
        <w:t xml:space="preserve">[09:45] </w:t>
      </w:r>
      <w:r w:rsidR="003D77DA">
        <w:rPr>
          <w:b/>
        </w:rPr>
        <w:t>Jacob</w:t>
      </w:r>
      <w:r>
        <w:rPr>
          <w:b/>
        </w:rPr>
        <w:t xml:space="preserve"> (Security): </w:t>
      </w:r>
      <w:r>
        <w:t>One caveat: never claim certifications we don’t have; propose alternatives or roadmaps with clear caveats.</w:t>
      </w:r>
    </w:p>
    <w:p w14:paraId="6D106A50" w14:textId="49D2C899" w:rsidR="00805B29" w:rsidRDefault="00000000">
      <w:r>
        <w:rPr>
          <w:b/>
        </w:rPr>
        <w:t xml:space="preserve">[09:47] </w:t>
      </w:r>
      <w:r w:rsidR="003D77DA">
        <w:rPr>
          <w:b/>
        </w:rPr>
        <w:t>Mario</w:t>
      </w:r>
      <w:r>
        <w:rPr>
          <w:b/>
        </w:rPr>
        <w:t xml:space="preserve"> (Engineering): </w:t>
      </w:r>
      <w:r>
        <w:t>And prefer the most recent authoritative source when facts conflict—Integration Guide and Compliance Summary beat older marketing sheets.</w:t>
      </w:r>
    </w:p>
    <w:p w14:paraId="29CB64F7" w14:textId="070F7206" w:rsidR="00805B29" w:rsidRDefault="00000000">
      <w:r>
        <w:rPr>
          <w:b/>
        </w:rPr>
        <w:t xml:space="preserve">[09:49] </w:t>
      </w:r>
      <w:r w:rsidR="003D77DA">
        <w:rPr>
          <w:b/>
        </w:rPr>
        <w:t>Riley</w:t>
      </w:r>
      <w:r>
        <w:rPr>
          <w:b/>
        </w:rPr>
        <w:t xml:space="preserve">: </w:t>
      </w:r>
      <w:r>
        <w:t>Let’s wrap with next steps. I’ll summarize in Copilot and share the action tracker in Teams.</w:t>
      </w:r>
    </w:p>
    <w:p w14:paraId="7AED32C4" w14:textId="77777777" w:rsidR="00805B29" w:rsidRDefault="00000000">
      <w:pPr>
        <w:pStyle w:val="Heading1"/>
      </w:pPr>
      <w:r>
        <w:t>Action Items</w:t>
      </w:r>
    </w:p>
    <w:p w14:paraId="78C17DA3" w14:textId="13A2227B" w:rsidR="00805B29" w:rsidRDefault="00000000">
      <w:r>
        <w:t>• PM (</w:t>
      </w:r>
      <w:r w:rsidR="003D77DA">
        <w:t>Avery</w:t>
      </w:r>
      <w:r>
        <w:t>): Add tone presets (formal, persuasive, pragmatic) and buyer-segment framing to Executive Summary.</w:t>
      </w:r>
    </w:p>
    <w:p w14:paraId="31FDE0E9" w14:textId="1309B132" w:rsidR="00805B29" w:rsidRDefault="00000000">
      <w:r>
        <w:lastRenderedPageBreak/>
        <w:t>• Engineering (</w:t>
      </w:r>
      <w:r w:rsidR="003D77DA">
        <w:t>Mario</w:t>
      </w:r>
      <w:r>
        <w:t>): Expand Integration section with supported PMS vendors, APIs, auth methods, rate limits, event schemas, and webhook retry policies.</w:t>
      </w:r>
    </w:p>
    <w:p w14:paraId="73AA0682" w14:textId="47DBB2C0" w:rsidR="00805B29" w:rsidRDefault="00000000">
      <w:r>
        <w:t>• Security (</w:t>
      </w:r>
      <w:r w:rsidR="003D77DA">
        <w:t>Jacob</w:t>
      </w:r>
      <w:r>
        <w:t>): Augment Compliance with regional specifics (GDPR, data residency), breach notification timelines, and privacy request processes.</w:t>
      </w:r>
    </w:p>
    <w:p w14:paraId="5CC8AE73" w14:textId="4D577CA5" w:rsidR="00805B29" w:rsidRDefault="00000000">
      <w:r>
        <w:t>• Commercials (</w:t>
      </w:r>
      <w:r w:rsidR="003D77DA">
        <w:t>Nicole</w:t>
      </w:r>
      <w:r>
        <w:t>): Standardize Pricing assumptions (currency, taxes, bundles, volume tiers) and auto-flag deviations as [Requires Commercial/Legal Review].</w:t>
      </w:r>
    </w:p>
    <w:p w14:paraId="19D94A1F" w14:textId="6A69812F" w:rsidR="00805B29" w:rsidRDefault="00000000">
      <w:r>
        <w:t>• Customer Success (</w:t>
      </w:r>
      <w:r w:rsidR="003D77DA">
        <w:t>Kayla</w:t>
      </w:r>
      <w:r>
        <w:t>): Add midscale hotel case study; include KPIs (energy reduction %, payback, support responsiveness).</w:t>
      </w:r>
    </w:p>
    <w:p w14:paraId="3FFD40A8" w14:textId="0EACEFE4" w:rsidR="00805B29" w:rsidRDefault="00000000">
      <w:r>
        <w:t>• PM (</w:t>
      </w:r>
      <w:r w:rsidR="003D77DA">
        <w:t>Avery</w:t>
      </w:r>
      <w:r>
        <w:t>): Update RFP template: add Sustainability &amp; ESG section, compliance matrix and SLA tables, terminology standardization.</w:t>
      </w:r>
    </w:p>
    <w:p w14:paraId="71A64C1D" w14:textId="514433D3" w:rsidR="00805B29" w:rsidRDefault="00000000">
      <w:r>
        <w:t>• Sales (</w:t>
      </w:r>
      <w:r w:rsidR="003D77DA">
        <w:t>Robin</w:t>
      </w:r>
      <w:r>
        <w:t>): Define buyer-specific benefits for luxury, midscale, resorts; add 5-slide executive deck output as a creative bonus.</w:t>
      </w:r>
    </w:p>
    <w:p w14:paraId="13C2E1A2" w14:textId="748CF066" w:rsidR="00805B29" w:rsidRDefault="00000000">
      <w:r>
        <w:t xml:space="preserve">• </w:t>
      </w:r>
      <w:r w:rsidR="003D77DA">
        <w:t>Riley</w:t>
      </w:r>
      <w:r>
        <w:t xml:space="preserve">: Create a Customer Readiness Checklist appendix and </w:t>
      </w:r>
      <w:proofErr w:type="gramStart"/>
      <w:r>
        <w:t>clarifying-question</w:t>
      </w:r>
      <w:proofErr w:type="gramEnd"/>
      <w:r>
        <w:t xml:space="preserve"> prompts for legacy systems or missing data.</w:t>
      </w:r>
    </w:p>
    <w:p w14:paraId="3656C950" w14:textId="77777777" w:rsidR="00805B29" w:rsidRDefault="00000000">
      <w:pPr>
        <w:pStyle w:val="Heading1"/>
      </w:pPr>
      <w:r>
        <w:t>Sample Copilot in Teams Prompts for Students</w:t>
      </w:r>
    </w:p>
    <w:p w14:paraId="3A75C426" w14:textId="77777777" w:rsidR="00805B29" w:rsidRDefault="00000000">
      <w:r>
        <w:t>• Summarize the key themes discussed in this meeting and list the top 10 actionable improvements for the RFP Response Agent.</w:t>
      </w:r>
    </w:p>
    <w:p w14:paraId="52F2C796" w14:textId="77777777" w:rsidR="00805B29" w:rsidRDefault="00000000">
      <w:r>
        <w:t>• Extract all pricing-related recommendations and convert them into a checklist with owners and due dates.</w:t>
      </w:r>
    </w:p>
    <w:p w14:paraId="46DFA0E8" w14:textId="77777777" w:rsidR="00805B29" w:rsidRDefault="00000000">
      <w:r>
        <w:t>• Create a requirements-to-capabilities mapping table based on the integration and compliance feedback.</w:t>
      </w:r>
    </w:p>
    <w:p w14:paraId="0C2CAED7" w14:textId="77777777" w:rsidR="00805B29" w:rsidRDefault="00000000">
      <w:r>
        <w:t>• Draft a 5-slide executive deck outline summarizing the proposed agent enhancements and their business impact.</w:t>
      </w:r>
    </w:p>
    <w:p w14:paraId="293C1751" w14:textId="77777777" w:rsidR="00805B29" w:rsidRDefault="00000000">
      <w:r>
        <w:t>• Generate a consolidated action tracker table with owner, task, dependencies, and status placeholders.</w:t>
      </w:r>
    </w:p>
    <w:sectPr w:rsidR="00805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35281">
    <w:abstractNumId w:val="8"/>
  </w:num>
  <w:num w:numId="2" w16cid:durableId="121972027">
    <w:abstractNumId w:val="6"/>
  </w:num>
  <w:num w:numId="3" w16cid:durableId="1628320400">
    <w:abstractNumId w:val="5"/>
  </w:num>
  <w:num w:numId="4" w16cid:durableId="1179543143">
    <w:abstractNumId w:val="4"/>
  </w:num>
  <w:num w:numId="5" w16cid:durableId="159659771">
    <w:abstractNumId w:val="7"/>
  </w:num>
  <w:num w:numId="6" w16cid:durableId="1618831285">
    <w:abstractNumId w:val="3"/>
  </w:num>
  <w:num w:numId="7" w16cid:durableId="104080487">
    <w:abstractNumId w:val="2"/>
  </w:num>
  <w:num w:numId="8" w16cid:durableId="307789321">
    <w:abstractNumId w:val="1"/>
  </w:num>
  <w:num w:numId="9" w16cid:durableId="26315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B9F"/>
    <w:rsid w:val="0015074B"/>
    <w:rsid w:val="0029639D"/>
    <w:rsid w:val="00326F90"/>
    <w:rsid w:val="003D77DA"/>
    <w:rsid w:val="005077A7"/>
    <w:rsid w:val="005C23D2"/>
    <w:rsid w:val="00805B29"/>
    <w:rsid w:val="00943C01"/>
    <w:rsid w:val="00AA1D8D"/>
    <w:rsid w:val="00B47730"/>
    <w:rsid w:val="00CB0664"/>
    <w:rsid w:val="00F92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B764A"/>
  <w14:defaultImageDpi w14:val="300"/>
  <w15:docId w15:val="{73540102-3497-41DC-9682-2FFE81F6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1076</Words>
  <Characters>6698</Characters>
  <Application>Microsoft Office Word</Application>
  <DocSecurity>0</DocSecurity>
  <Lines>478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4</cp:revision>
  <dcterms:created xsi:type="dcterms:W3CDTF">2013-12-23T23:15:00Z</dcterms:created>
  <dcterms:modified xsi:type="dcterms:W3CDTF">2026-01-17T15:50:00Z</dcterms:modified>
  <cp:category/>
</cp:coreProperties>
</file>