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05" w:type="pct"/>
        <w:tblInd w:w="-1175" w:type="dxa"/>
        <w:tblLook w:val="04A0" w:firstRow="1" w:lastRow="0" w:firstColumn="1" w:lastColumn="0" w:noHBand="0" w:noVBand="1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:rsidR="007C64B1" w:rsidRPr="002950D5" w14:paraId="11E3B51A" w14:textId="77777777" w:rsidTr="007C64B1"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950D5" w:rsidRDefault="00055BAB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Revenue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Cost of Goods Sold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Gross Profit Margin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Operating Expenses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EBITDA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Interest Expense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Earnings Before Tax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Net Income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Total Assets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Total Liabilities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2950D5" w:rsidRDefault="00055BAB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Shareholder Equity ($K)</w:t>
            </w:r>
          </w:p>
        </w:tc>
      </w:tr>
      <w:tr w:rsidR="007C64B1" w:rsidRPr="002950D5" w14:paraId="30553C7C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2950D5" w:rsidRDefault="002950D5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41924</w:t>
            </w:r>
          </w:p>
        </w:tc>
      </w:tr>
      <w:tr w:rsidR="007C64B1" w:rsidRPr="002950D5" w14:paraId="589F6239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2950D5" w:rsidRDefault="00210BF7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35091</w:t>
            </w:r>
          </w:p>
        </w:tc>
      </w:tr>
      <w:tr w:rsidR="007C64B1" w:rsidRPr="002950D5" w14:paraId="06A77831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2950D5" w:rsidRDefault="00210BF7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90766</w:t>
            </w:r>
          </w:p>
        </w:tc>
      </w:tr>
      <w:tr w:rsidR="007C64B1" w:rsidRPr="002950D5" w14:paraId="2DA76F40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2950D5" w:rsidRDefault="00210BF7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90775</w:t>
            </w:r>
          </w:p>
        </w:tc>
      </w:tr>
      <w:tr w:rsidR="007C64B1" w:rsidRPr="002950D5" w14:paraId="79CBDF0A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2950D5" w:rsidRDefault="00210BF7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950D5" w:rsidRDefault="00055BAB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2950D5">
              <w:rPr>
                <w:rFonts w:eastAsia="Times New Roman" w:cs="Calibri"/>
                <w:color w:val="000000"/>
                <w:sz w:val="20"/>
                <w:szCs w:val="20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Default="00210BF7">
      <w:r>
        <w:t>Where N = Current year</w:t>
      </w:r>
    </w:p>
    <w:sectPr w:rsidR="0021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