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ADB5" w14:textId="77777777" w:rsidR="00C262E5" w:rsidRDefault="00000000">
      <w:pPr>
        <w:jc w:val="center"/>
      </w:pPr>
      <w:r>
        <w:rPr>
          <w:b/>
          <w:sz w:val="36"/>
        </w:rPr>
        <w:t>Adatum Corporation</w:t>
      </w:r>
    </w:p>
    <w:p w14:paraId="2365984D" w14:textId="77777777" w:rsidR="00C262E5" w:rsidRDefault="00000000">
      <w:pPr>
        <w:jc w:val="center"/>
      </w:pPr>
      <w:r>
        <w:rPr>
          <w:b/>
          <w:sz w:val="48"/>
        </w:rPr>
        <w:t>Relocation Policy</w:t>
      </w:r>
    </w:p>
    <w:p w14:paraId="0B908783" w14:textId="77777777" w:rsidR="00C262E5" w:rsidRDefault="00000000">
      <w:pPr>
        <w:jc w:val="center"/>
      </w:pPr>
      <w:r>
        <w:rPr>
          <w:sz w:val="24"/>
        </w:rPr>
        <w:t>Eligibility, covered expenses, and reimbursement procedures</w:t>
      </w:r>
    </w:p>
    <w:p w14:paraId="42AB5AC9" w14:textId="77777777" w:rsidR="00C262E5" w:rsidRDefault="00000000">
      <w:pPr>
        <w:jc w:val="center"/>
      </w:pPr>
      <w:r>
        <w:rPr>
          <w:i/>
        </w:rPr>
        <w:t>Effective: October 31, 2025 | v1.0</w:t>
      </w:r>
    </w:p>
    <w:p w14:paraId="579A5DE4" w14:textId="77777777" w:rsidR="00C262E5" w:rsidRDefault="00000000">
      <w:pPr>
        <w:pStyle w:val="Heading1"/>
      </w:pPr>
      <w:r>
        <w:t>Purpose &amp; Scope</w:t>
      </w:r>
    </w:p>
    <w:p w14:paraId="5810DDB3" w14:textId="77777777" w:rsidR="00C262E5" w:rsidRDefault="00000000">
      <w:r>
        <w:t>This policy supports employees who relocate for an approved business need (e.g., role change, site strategy). Offers are tiered based on level and distance.</w:t>
      </w:r>
    </w:p>
    <w:p w14:paraId="1A160F1F" w14:textId="77777777" w:rsidR="00C262E5" w:rsidRDefault="00000000">
      <w:pPr>
        <w:pStyle w:val="Heading1"/>
      </w:pPr>
      <w:r>
        <w:t>Eligibility</w:t>
      </w:r>
    </w:p>
    <w:p w14:paraId="5B4ECBBC" w14:textId="77777777" w:rsidR="00C262E5" w:rsidRDefault="00000000">
      <w:pPr>
        <w:pStyle w:val="ListBullet"/>
      </w:pPr>
      <w:r>
        <w:t>Full-time employees with manager and HR approval.</w:t>
      </w:r>
    </w:p>
    <w:p w14:paraId="78EAE354" w14:textId="77777777" w:rsidR="00C262E5" w:rsidRDefault="00000000">
      <w:pPr>
        <w:pStyle w:val="ListBullet"/>
      </w:pPr>
      <w:r>
        <w:t>Relocation distance: generally &gt;50 miles from current primary residence to new work location.</w:t>
      </w:r>
    </w:p>
    <w:p w14:paraId="66200D44" w14:textId="77777777" w:rsidR="00C262E5" w:rsidRDefault="00000000">
      <w:pPr>
        <w:pStyle w:val="ListBullet"/>
      </w:pPr>
      <w:r>
        <w:t>Relocations must occur within 12 months of offer acceptance unless extended by HR.</w:t>
      </w:r>
    </w:p>
    <w:p w14:paraId="76A9DE5D" w14:textId="77777777" w:rsidR="00C262E5" w:rsidRDefault="00000000">
      <w:pPr>
        <w:pStyle w:val="Heading1"/>
      </w:pPr>
      <w:r>
        <w:t>Relocation Packages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08"/>
        <w:gridCol w:w="2242"/>
        <w:gridCol w:w="1686"/>
        <w:gridCol w:w="1647"/>
        <w:gridCol w:w="1673"/>
      </w:tblGrid>
      <w:tr w:rsidR="00C262E5" w14:paraId="2ED01852" w14:textId="77777777">
        <w:tc>
          <w:tcPr>
            <w:tcW w:w="1728" w:type="dxa"/>
          </w:tcPr>
          <w:p w14:paraId="6DC48EDE" w14:textId="77777777" w:rsidR="00C262E5" w:rsidRDefault="00000000">
            <w:r>
              <w:t>Tier</w:t>
            </w:r>
          </w:p>
        </w:tc>
        <w:tc>
          <w:tcPr>
            <w:tcW w:w="1728" w:type="dxa"/>
          </w:tcPr>
          <w:p w14:paraId="28A9C8DF" w14:textId="77777777" w:rsidR="00C262E5" w:rsidRDefault="00000000">
            <w:r>
              <w:t>Who</w:t>
            </w:r>
          </w:p>
        </w:tc>
        <w:tc>
          <w:tcPr>
            <w:tcW w:w="1728" w:type="dxa"/>
          </w:tcPr>
          <w:p w14:paraId="148BCDFC" w14:textId="77777777" w:rsidR="00C262E5" w:rsidRDefault="00000000">
            <w:r>
              <w:t>House-hunting Trip</w:t>
            </w:r>
          </w:p>
        </w:tc>
        <w:tc>
          <w:tcPr>
            <w:tcW w:w="1728" w:type="dxa"/>
          </w:tcPr>
          <w:p w14:paraId="5269EE26" w14:textId="77777777" w:rsidR="00C262E5" w:rsidRDefault="00000000">
            <w:r>
              <w:t>Moving &amp; Storage</w:t>
            </w:r>
          </w:p>
        </w:tc>
        <w:tc>
          <w:tcPr>
            <w:tcW w:w="1728" w:type="dxa"/>
          </w:tcPr>
          <w:p w14:paraId="44E20B16" w14:textId="77777777" w:rsidR="00C262E5" w:rsidRDefault="00000000">
            <w:r>
              <w:t>Temporary Housing</w:t>
            </w:r>
          </w:p>
        </w:tc>
      </w:tr>
      <w:tr w:rsidR="00C262E5" w14:paraId="13492C27" w14:textId="77777777">
        <w:tc>
          <w:tcPr>
            <w:tcW w:w="1728" w:type="dxa"/>
          </w:tcPr>
          <w:p w14:paraId="0041C6A7" w14:textId="77777777" w:rsidR="00C262E5" w:rsidRDefault="00000000">
            <w:r>
              <w:t>Tier 1</w:t>
            </w:r>
          </w:p>
        </w:tc>
        <w:tc>
          <w:tcPr>
            <w:tcW w:w="1728" w:type="dxa"/>
          </w:tcPr>
          <w:p w14:paraId="766EA55E" w14:textId="77777777" w:rsidR="00C262E5" w:rsidRDefault="00000000">
            <w:r>
              <w:t>Associate/Professional</w:t>
            </w:r>
          </w:p>
        </w:tc>
        <w:tc>
          <w:tcPr>
            <w:tcW w:w="1728" w:type="dxa"/>
          </w:tcPr>
          <w:p w14:paraId="0DCB09E7" w14:textId="77777777" w:rsidR="00C262E5" w:rsidRDefault="00000000">
            <w:r>
              <w:t>1 trip, employee+1</w:t>
            </w:r>
          </w:p>
        </w:tc>
        <w:tc>
          <w:tcPr>
            <w:tcW w:w="1728" w:type="dxa"/>
          </w:tcPr>
          <w:p w14:paraId="4147A36E" w14:textId="77777777" w:rsidR="00C262E5" w:rsidRDefault="00000000">
            <w:r>
              <w:t>$6,000 cap</w:t>
            </w:r>
          </w:p>
        </w:tc>
        <w:tc>
          <w:tcPr>
            <w:tcW w:w="1728" w:type="dxa"/>
          </w:tcPr>
          <w:p w14:paraId="74559BDC" w14:textId="77777777" w:rsidR="00C262E5" w:rsidRDefault="00000000">
            <w:r>
              <w:t>Up to 30 days</w:t>
            </w:r>
          </w:p>
        </w:tc>
      </w:tr>
      <w:tr w:rsidR="00C262E5" w14:paraId="4535A627" w14:textId="77777777">
        <w:tc>
          <w:tcPr>
            <w:tcW w:w="1728" w:type="dxa"/>
          </w:tcPr>
          <w:p w14:paraId="792F96ED" w14:textId="77777777" w:rsidR="00C262E5" w:rsidRDefault="00000000">
            <w:r>
              <w:t>Tier 2</w:t>
            </w:r>
          </w:p>
        </w:tc>
        <w:tc>
          <w:tcPr>
            <w:tcW w:w="1728" w:type="dxa"/>
          </w:tcPr>
          <w:p w14:paraId="31BDFC3B" w14:textId="77777777" w:rsidR="00C262E5" w:rsidRDefault="00000000">
            <w:r>
              <w:t>Senior/Manager</w:t>
            </w:r>
          </w:p>
        </w:tc>
        <w:tc>
          <w:tcPr>
            <w:tcW w:w="1728" w:type="dxa"/>
          </w:tcPr>
          <w:p w14:paraId="60824045" w14:textId="77777777" w:rsidR="00C262E5" w:rsidRDefault="00000000">
            <w:r>
              <w:t>2 trips, family</w:t>
            </w:r>
          </w:p>
        </w:tc>
        <w:tc>
          <w:tcPr>
            <w:tcW w:w="1728" w:type="dxa"/>
          </w:tcPr>
          <w:p w14:paraId="7FE872ED" w14:textId="77777777" w:rsidR="00C262E5" w:rsidRDefault="00000000">
            <w:r>
              <w:t>$10,000 cap</w:t>
            </w:r>
          </w:p>
        </w:tc>
        <w:tc>
          <w:tcPr>
            <w:tcW w:w="1728" w:type="dxa"/>
          </w:tcPr>
          <w:p w14:paraId="138DE277" w14:textId="77777777" w:rsidR="00C262E5" w:rsidRDefault="00000000">
            <w:r>
              <w:t>Up to 60 days</w:t>
            </w:r>
          </w:p>
        </w:tc>
      </w:tr>
      <w:tr w:rsidR="00C262E5" w14:paraId="64068306" w14:textId="77777777">
        <w:tc>
          <w:tcPr>
            <w:tcW w:w="1728" w:type="dxa"/>
          </w:tcPr>
          <w:p w14:paraId="3634057A" w14:textId="77777777" w:rsidR="00C262E5" w:rsidRDefault="00000000">
            <w:r>
              <w:t>Tier 3</w:t>
            </w:r>
          </w:p>
        </w:tc>
        <w:tc>
          <w:tcPr>
            <w:tcW w:w="1728" w:type="dxa"/>
          </w:tcPr>
          <w:p w14:paraId="04C2F4F6" w14:textId="77777777" w:rsidR="00C262E5" w:rsidRDefault="00000000">
            <w:r>
              <w:t>Principal/Director+</w:t>
            </w:r>
          </w:p>
        </w:tc>
        <w:tc>
          <w:tcPr>
            <w:tcW w:w="1728" w:type="dxa"/>
          </w:tcPr>
          <w:p w14:paraId="463C3A76" w14:textId="77777777" w:rsidR="00C262E5" w:rsidRDefault="00000000">
            <w:r>
              <w:t>2 trips, family premium</w:t>
            </w:r>
          </w:p>
        </w:tc>
        <w:tc>
          <w:tcPr>
            <w:tcW w:w="1728" w:type="dxa"/>
          </w:tcPr>
          <w:p w14:paraId="0F9BAA72" w14:textId="77777777" w:rsidR="00C262E5" w:rsidRDefault="00000000">
            <w:r>
              <w:t>$20,000 cap</w:t>
            </w:r>
          </w:p>
        </w:tc>
        <w:tc>
          <w:tcPr>
            <w:tcW w:w="1728" w:type="dxa"/>
          </w:tcPr>
          <w:p w14:paraId="61E68844" w14:textId="77777777" w:rsidR="00C262E5" w:rsidRDefault="00000000">
            <w:r>
              <w:t>Up to 90 days</w:t>
            </w:r>
          </w:p>
        </w:tc>
      </w:tr>
    </w:tbl>
    <w:p w14:paraId="68DD73B7" w14:textId="77777777" w:rsidR="00C262E5" w:rsidRDefault="00000000">
      <w:pPr>
        <w:pStyle w:val="Heading1"/>
      </w:pPr>
      <w:r>
        <w:t>Covered Expenses</w:t>
      </w:r>
    </w:p>
    <w:p w14:paraId="12AD1AF6" w14:textId="77777777" w:rsidR="00C262E5" w:rsidRDefault="00000000">
      <w:pPr>
        <w:pStyle w:val="ListBullet"/>
      </w:pPr>
      <w:r>
        <w:t>House-hunting travel (airfare/mileage, lodging, per diem per policy).</w:t>
      </w:r>
    </w:p>
    <w:p w14:paraId="15EFFCED" w14:textId="77777777" w:rsidR="00C262E5" w:rsidRDefault="00000000">
      <w:pPr>
        <w:pStyle w:val="ListBullet"/>
      </w:pPr>
      <w:r>
        <w:t>Packing, shipping, and standard insurance for household goods.</w:t>
      </w:r>
    </w:p>
    <w:p w14:paraId="32C6D45C" w14:textId="77777777" w:rsidR="00C262E5" w:rsidRDefault="00000000">
      <w:pPr>
        <w:pStyle w:val="ListBullet"/>
      </w:pPr>
      <w:r>
        <w:t>Temporary housing and local transportation for the specified period.</w:t>
      </w:r>
    </w:p>
    <w:p w14:paraId="10CD931C" w14:textId="77777777" w:rsidR="00C262E5" w:rsidRDefault="00000000">
      <w:pPr>
        <w:pStyle w:val="ListBullet"/>
      </w:pPr>
      <w:r>
        <w:t>Lease break fees (cap $2,000) or home sale closing costs (caps per tier).</w:t>
      </w:r>
    </w:p>
    <w:p w14:paraId="399149CD" w14:textId="77777777" w:rsidR="00C262E5" w:rsidRDefault="00000000">
      <w:pPr>
        <w:pStyle w:val="ListBullet"/>
      </w:pPr>
      <w:r>
        <w:t>Final move travel for employee and dependents.</w:t>
      </w:r>
    </w:p>
    <w:p w14:paraId="15C912E5" w14:textId="77777777" w:rsidR="00C262E5" w:rsidRDefault="00000000">
      <w:pPr>
        <w:pStyle w:val="ListBullet"/>
      </w:pPr>
      <w:r>
        <w:t>School search and spouse/partner job support (Tier 2+).</w:t>
      </w:r>
    </w:p>
    <w:p w14:paraId="5DE6915D" w14:textId="77777777" w:rsidR="00C262E5" w:rsidRDefault="00000000">
      <w:pPr>
        <w:pStyle w:val="Heading1"/>
      </w:pPr>
      <w:r>
        <w:lastRenderedPageBreak/>
        <w:t>Non-Covered Expenses</w:t>
      </w:r>
    </w:p>
    <w:p w14:paraId="71638322" w14:textId="77777777" w:rsidR="00C262E5" w:rsidRDefault="00000000">
      <w:pPr>
        <w:pStyle w:val="ListBullet"/>
      </w:pPr>
      <w:r>
        <w:t>Luxury services (e.g., art crating), home improvements, pet quarantine fees.</w:t>
      </w:r>
    </w:p>
    <w:p w14:paraId="11AAB434" w14:textId="77777777" w:rsidR="00C262E5" w:rsidRDefault="00000000">
      <w:pPr>
        <w:pStyle w:val="ListBullet"/>
      </w:pPr>
      <w:r>
        <w:t>Loss on home sale, mortgage points beyond standard caps.</w:t>
      </w:r>
    </w:p>
    <w:p w14:paraId="5CCFE450" w14:textId="77777777" w:rsidR="00C262E5" w:rsidRDefault="00000000">
      <w:pPr>
        <w:pStyle w:val="ListBullet"/>
      </w:pPr>
      <w:r>
        <w:t>Storage beyond temporary housing window unless pre-approved.</w:t>
      </w:r>
    </w:p>
    <w:p w14:paraId="2E76BE76" w14:textId="77777777" w:rsidR="00C262E5" w:rsidRDefault="00000000">
      <w:pPr>
        <w:pStyle w:val="Heading1"/>
      </w:pPr>
      <w:r>
        <w:t>Reimbursement &amp; Taxes</w:t>
      </w:r>
    </w:p>
    <w:p w14:paraId="1C756FD7" w14:textId="77777777" w:rsidR="00C262E5" w:rsidRDefault="00000000">
      <w:r>
        <w:t>Submit expenses within 60 days via Concur (or successor). Receipts required for items &gt;$25. Tax treatment follows applicable law; Adatum may gross-up certain taxable relocation benefits.</w:t>
      </w:r>
    </w:p>
    <w:p w14:paraId="60503CB5" w14:textId="77777777" w:rsidR="00C262E5" w:rsidRDefault="00000000">
      <w:pPr>
        <w:pStyle w:val="Heading1"/>
      </w:pPr>
      <w:r>
        <w:t>Repayment Agreement</w:t>
      </w:r>
    </w:p>
    <w:p w14:paraId="0135CF0A" w14:textId="77777777" w:rsidR="00C262E5" w:rsidRDefault="00000000">
      <w:r>
        <w:t>If an employee voluntarily resigns or is terminated for cause within 12 months of relocation, a prorated repayment of relocation benefits (up to 100%) will be due.</w:t>
      </w:r>
    </w:p>
    <w:p w14:paraId="08545999" w14:textId="77777777" w:rsidR="00C262E5" w:rsidRDefault="00000000">
      <w:pPr>
        <w:pStyle w:val="Heading1"/>
      </w:pPr>
      <w:r>
        <w:t>Immigration &amp; Cross-Border Moves</w:t>
      </w:r>
    </w:p>
    <w:p w14:paraId="26FE0772" w14:textId="77777777" w:rsidR="00C262E5" w:rsidRDefault="00000000">
      <w:r>
        <w:t>International relocations require consultation with Global Mobility for immigration, tax, and payroll compliance; additional lead time is required.</w:t>
      </w:r>
    </w:p>
    <w:p w14:paraId="7A705C9E" w14:textId="77777777" w:rsidR="00C262E5" w:rsidRDefault="00000000">
      <w:pPr>
        <w:pStyle w:val="Heading1"/>
      </w:pPr>
      <w:r>
        <w:t>FAQs</w:t>
      </w:r>
    </w:p>
    <w:p w14:paraId="439E046F" w14:textId="77777777" w:rsidR="00C262E5" w:rsidRDefault="00000000">
      <w:pPr>
        <w:pStyle w:val="ListBullet"/>
      </w:pPr>
      <w:r>
        <w:t>Q: Can I choose my movers? A: Yes, from the approved vendor list.</w:t>
      </w:r>
    </w:p>
    <w:p w14:paraId="201CEF44" w14:textId="77777777" w:rsidR="00C262E5" w:rsidRDefault="00000000">
      <w:pPr>
        <w:pStyle w:val="ListBullet"/>
      </w:pPr>
      <w:r>
        <w:t>Q: What if my home sale falls through? A: Contact HR; extensions may be granted with justification.</w:t>
      </w:r>
    </w:p>
    <w:p w14:paraId="1113CE7C" w14:textId="77777777" w:rsidR="00C262E5" w:rsidRDefault="00000000">
      <w:pPr>
        <w:pStyle w:val="ListBullet"/>
      </w:pPr>
      <w:r>
        <w:t>Q: Are weekend trips covered during temporary housing? A: Reasonable local travel is covered; leisure trips are not.</w:t>
      </w:r>
    </w:p>
    <w:sectPr w:rsidR="00C262E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688E9" w14:textId="77777777" w:rsidR="00DD4905" w:rsidRDefault="00DD4905">
      <w:pPr>
        <w:spacing w:after="0" w:line="240" w:lineRule="auto"/>
      </w:pPr>
      <w:r>
        <w:separator/>
      </w:r>
    </w:p>
  </w:endnote>
  <w:endnote w:type="continuationSeparator" w:id="0">
    <w:p w14:paraId="3BCC2AA0" w14:textId="77777777" w:rsidR="00DD4905" w:rsidRDefault="00DD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AACF" w14:textId="77777777" w:rsidR="00C262E5" w:rsidRDefault="00000000">
    <w:pPr>
      <w:pStyle w:val="Footer"/>
      <w:jc w:val="center"/>
    </w:pPr>
    <w:r>
      <w:t>Fictional policy for training purposes only — not legal advice. © Adatum Corporation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C22FF" w14:textId="77777777" w:rsidR="00DD4905" w:rsidRDefault="00DD4905">
      <w:pPr>
        <w:spacing w:after="0" w:line="240" w:lineRule="auto"/>
      </w:pPr>
      <w:r>
        <w:separator/>
      </w:r>
    </w:p>
  </w:footnote>
  <w:footnote w:type="continuationSeparator" w:id="0">
    <w:p w14:paraId="7B5457A6" w14:textId="77777777" w:rsidR="00DD4905" w:rsidRDefault="00DD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87129">
    <w:abstractNumId w:val="8"/>
  </w:num>
  <w:num w:numId="2" w16cid:durableId="1092973765">
    <w:abstractNumId w:val="6"/>
  </w:num>
  <w:num w:numId="3" w16cid:durableId="1134756314">
    <w:abstractNumId w:val="5"/>
  </w:num>
  <w:num w:numId="4" w16cid:durableId="247660995">
    <w:abstractNumId w:val="4"/>
  </w:num>
  <w:num w:numId="5" w16cid:durableId="1563638865">
    <w:abstractNumId w:val="7"/>
  </w:num>
  <w:num w:numId="6" w16cid:durableId="656811712">
    <w:abstractNumId w:val="3"/>
  </w:num>
  <w:num w:numId="7" w16cid:durableId="448092135">
    <w:abstractNumId w:val="2"/>
  </w:num>
  <w:num w:numId="8" w16cid:durableId="172457228">
    <w:abstractNumId w:val="1"/>
  </w:num>
  <w:num w:numId="9" w16cid:durableId="1368291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70C"/>
    <w:rsid w:val="005E4E2B"/>
    <w:rsid w:val="007F36D7"/>
    <w:rsid w:val="00974B6C"/>
    <w:rsid w:val="00AA1D8D"/>
    <w:rsid w:val="00B47730"/>
    <w:rsid w:val="00C262E5"/>
    <w:rsid w:val="00CB0664"/>
    <w:rsid w:val="00DD4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DC31A9-0F58-4804-B99D-AD4C82E6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2012</Characters>
  <Application>Microsoft Office Word</Application>
  <DocSecurity>0</DocSecurity>
  <Lines>62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2</cp:revision>
  <dcterms:created xsi:type="dcterms:W3CDTF">2013-12-23T23:15:00Z</dcterms:created>
  <dcterms:modified xsi:type="dcterms:W3CDTF">2025-10-31T21:29:00Z</dcterms:modified>
  <cp:category/>
</cp:coreProperties>
</file>