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id-ID" w:eastAsia="en-US" w:bidi="ar-SA"/>
        </w:rPr>
        <w:t>Laporan Analisis Strategis ContosoLearn</w:t>
      </w:r>
    </w:p>
    <w:p w:rsidR="009F4EAF" w:rsidP="009F4EAF" w14:paraId="13B7072F"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id-ID" w:eastAsia="en-US" w:bidi="ar-SA"/>
        </w:rPr>
        <w:t>Disiapkan oleh: {Nama Anda}</w:t>
      </w:r>
    </w:p>
    <w:p w:rsidR="009F4EAF" w:rsidP="009F4EAF" w14:paraId="2DE15BE3"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Ringkasan Eksekutif</w:t>
      </w:r>
    </w:p>
    <w:p w:rsidR="009F4EAF" w:rsidP="009F4EAF" w14:paraId="64A50D1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adalah platform pembelajaran dan pengembangan keterampilan bertenaga AI yang bertujuan untuk menjembatani kesenjangan dalam pendidikan tradisional dan memberikan pengalaman belajar yang dipersonalisasi.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menawarkan fitur seperti jalur pembelajaran adaptif, agregasi konten, validasi dan sertifikasi keterampilan, analisis kesenjangan keterampilan berbasis AI, komunitas pembelajaran kolaboratif, wawasan pasar kerja, dan tutor AI interaktif.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beroperasi pada model freemium dengan langganan premium dan opsi lisensi perusahaan.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Proposisi nilai ContosoLearn adalah menjadi pendamping AI yang adaptif bagi para pelajar, memberikan rekomendasi yang disesuaikan, konten orisinal, dan wawasan yang dapat ditindaklanjuti.</w:t>
      </w:r>
    </w:p>
    <w:p w:rsidR="009F4EAF" w:rsidP="009F4EAF" w14:paraId="6FD9FD0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eLearning diperkirakan akan tumbuh dengan laju pertumbuhan tahunan gabungan (CAGR) sebesar 21,4% dari tahun 2020 hingga 2027, mencapai $374,3 miliar pada tahun 2027.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didorong oleh faktor-faktor seperti meningkatnya adopsi pembelajaran daring, meningkatnya permintaan untuk pengembangan keterampilan, meningkatnya penggunaan perangkat seluler dan teknologi cloud, dan dampak pandemi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disegmentasi oleh pengguna akhir, mode pembelajaran, teknologi, dan wilayah.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akhir utama adalah akademisi dan korporasi, dengan pengguna akhir yang terakhir diperkirakan akan tumbuh lebih cepat karena kebutuhan untuk pelatihan ulang dan peningkatan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Mode pembelajaran utama adalah mandiri dan dipandu oleh instruktur, dengan mode pembelajaran mandiri diperkirakan akan mendominasi karena preferensi untuk fleksibilitas dan kenyamanan.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Teknologi utama adalah sistem manajemen pembelajaran (LMS), pembelajaran seluler, pembelajaran mikro, gamifikasi, dan kecerdasan buatan (AI), dengan teknologi yang terakhir diperkirakan akan mengalami pertumbuhan tertinggi karena potensinya untuk meningkatkan hasil pembelajaran dan efisiensi.</w:t>
      </w:r>
    </w:p>
    <w:p w:rsidR="009F4EAF" w:rsidP="009F4EAF" w14:paraId="31AE396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menghadapi persaingan dari berbagai pemain di pasar eLearning, seperti Fabrikam Learning dan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Fabrikam Learning adalah platform yang menyediakan seperangkat alat analisis dan pelaporan yang komprehensif, tetapi mungkin membebani beberapa pengguna.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AdatumLearn adalah platform yang menawarkan kursus tentang teknik analisis bisnis, tetapi bergantung pada informasi yang dihasilkan pihak ketiga.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dapat membedakan dirinya dari para pesaingnya dengan memanfaatkan kekuatannya, seperti algoritma AI adaptifnya, konten orisinal dan terkurasi, dan sistem analitisnya yang disederhanakan namun kuat.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dapat memanfaatkan peluang yang ada di pasar, seperti meningkatnya permintaan akan pengalaman belajar yang dipersonalisasi, rekomendasi berbasis data, serta validasi dan sertifikasi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harus menyadari ancaman yang ada di pasar, seperti persaingan yang tinggi, perubahan ekspektasi pelanggan, dan tantangan regulasi dan etika.</w:t>
      </w:r>
    </w:p>
    <w:p w:rsidR="009F4EAF" w:rsidP="009F4EAF" w14:paraId="1E0F9D8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Berdasarkan analisis strategis, rekomendasi berikut ini diusulkan untuk ContosoLearn agar dapat mencapai tujuan dan sasarannya:</w:t>
      </w:r>
    </w:p>
    <w:p w:rsidR="009F4EAF" w:rsidP="009F4EAF" w14:paraId="4A97B0E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Memperluas penawaran kursus untuk mencakup lebih banyak topik dan keterampilan, terutama yang banyak diminati atau sedang berkembang di pasar kerja.</w:t>
      </w:r>
    </w:p>
    <w:p w:rsidR="009F4EAF" w:rsidP="009F4EAF" w14:paraId="3C09DD1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Bermitra dengan lembaga pendidikan dan perusahaan terkemuka untuk meningkatkan kredibilitas, jangkauan, dan kualitas konten.</w:t>
      </w:r>
    </w:p>
    <w:p w:rsidR="009F4EAF" w:rsidP="009F4EAF" w14:paraId="64651821"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Berinvestasi dalam penelitian dan pengembangan untuk meningkatkan algoritma dan fitur AI, serta memastikan kepatuhannya terhadap standar etika dan hukum.</w:t>
      </w:r>
    </w:p>
    <w:p w:rsidR="009F4EAF" w:rsidP="009F4EAF" w14:paraId="0A5A3592"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Meningkatkan strategi pemasaran dan branding untuk meningkatkan kesadaran, pengakuan, dan loyalitas di antara calon pelanggan dan pelanggan yang sudah ada.</w:t>
      </w:r>
    </w:p>
    <w:p w:rsidR="009F4EAF" w:rsidP="009F4EAF" w14:paraId="74952A6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Memberikan lebih banyak insentif dan manfaat bagi pelanggan premium dan pelanggan enterprise, seperti diskon, hadiah, dan akses eksklusif.</w:t>
      </w:r>
    </w:p>
    <w:p w:rsidR="009F4EAF" w:rsidP="009F4EAF" w14:paraId="2579B3B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Gambaran Umum Aplikasi ContosoLearn</w:t>
      </w:r>
    </w:p>
    <w:p w:rsidR="009F4EAF" w:rsidP="009F4EAF" w14:paraId="32F2E16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adalah platform pembelajaran dan pengembangan keterampilan yang didukung AI yang dirancang untuk membantu individu memperoleh keterampilan baru secara efisien.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berfokus pada pengalaman pembelajaran yang dipersonalisasi, rekomendasi berbasis data, dan menjembatani kesenjangan dalam pendidikan tradisional.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Aplikasi ini memiliki fitur-fitur berikut ini:</w:t>
      </w:r>
    </w:p>
    <w:p w:rsidR="009F4EAF" w:rsidP="009F4EAF" w14:paraId="50D5F344"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Jalur Pembelajaran Adaptif: ContosoLearn menilai pengetahuan dan preferensi pembelajaran pengguna yang sudah ada, dan menciptakan jalur pembelajaran yang dipersonalisasi berdasarkan tujuan, minat, dan aspirasi karier individu.</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Aplikasi ini mengadaptasi kesulitan, kecepatan, dan format konten untuk mengoptimalkan hasil pembelajaran.</w:t>
      </w:r>
    </w:p>
    <w:p w:rsidR="009F4EAF" w:rsidP="009F4EAF" w14:paraId="2F391663"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Agregasi Konten: ContosoLearn mengumpulkan konten pendidikan berkualitas tinggi dari berbagai sumber (misalnya, kursus online, artikel, video, podcast), dan mengkurasi konten yang relevan dengan keterampilan, industri, atau peran pekerjaan tertentu.</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dapat mengakses berbagai materi tanpa beralih antar berbagai platform.</w:t>
      </w:r>
    </w:p>
    <w:p w:rsidR="009F4EAF" w:rsidP="009F4EAF" w14:paraId="7669A618"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Validasi dan Sertifikasi Keterampilan: ContosoLearn terintegrasi dengan program sertifikasi standar industri, dan memungkinkan pengguna untuk memvalidasi keterampilan mereka dengan menyelesaikan penilaian dan mendapatkan sertifikat.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Pengusaha dapat memverifikasi keterampilan kandidat secara langsung melalui aplikasi.</w:t>
      </w:r>
    </w:p>
    <w:p w:rsidR="009F4EAF" w:rsidP="009F4EAF" w14:paraId="5414A38C"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Analisis Kesenjangan Keterampilan Berbasis AI: ContosoLearn menganalisis profil pengguna, tujuan karier, dan tren pasar kerja, serta mengidentifikasi kesenjangan keterampilan dan merekomendasikan jalur pembelajaran yang relevan.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menerima konten yang ditargetkan untuk mengatasi kelemahan tertentu.</w:t>
      </w:r>
    </w:p>
    <w:p w:rsidR="009F4EAF" w:rsidP="009F4EAF" w14:paraId="5AD330EB"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Komunitas Pembelajaran Kolaboratif: ContosoLearn menumbuhkan pembelajaran peer-to-peer, dan memungkinkan pengguna untuk bergabung dengan komunitas khusus topik, berpartisipasi dalam diskusi, dan berbagi wawasan.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Algoritma AI mencocokkan pelajar dengan kelompok belajar yang kompatibel.</w:t>
      </w:r>
    </w:p>
    <w:p w:rsidR="009F4EAF" w:rsidP="009F4EAF" w14:paraId="5292357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Wawasan Pasar Kerja: ContosoLearn menyediakan data real time tentang keterampilan sesuai permintaan dan peluang pekerjaan, serta memberi tahu pengguna tentang tren dan persyaratan keterampilan yang muncul.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dapat membantu pelajar untuk tetap maju dalam karier mereka.</w:t>
      </w:r>
    </w:p>
    <w:p w:rsidR="009F4EAF" w:rsidP="009F4EAF" w14:paraId="09AEA1D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Tutor AI Interaktif: ContosoLearn menawarkan chatbot interaktif dan tutor virtual, serta memungkinkan pengguna untuk mengajukan pertanyaan, mencari penjelasan, dan menerima umpan balik secara instan.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Tutor AI beradaptasi dengan gaya dan kecepatan pembelajaran pengguna.</w:t>
      </w:r>
    </w:p>
    <w:p w:rsidR="009F4EAF" w:rsidP="009F4EAF" w14:paraId="29FE004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beroperasi pada model freemium dengan fitur dasar yang tersedia secara gratis.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Langganan premium untuk jalur pembelajaran yang dipersonalisasi, analitik tingkat lanjut, dan konten eksklusif dikenakan biaya sebesar $ 9,99 per bulan atau $ 99,99 per tahun.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Kemitraan dengan lembaga pendidikan dan perusahaan untuk lisensi perusahaan dinegosiasikan berdasarkan kasus per kasus.</w:t>
      </w:r>
    </w:p>
    <w:p w:rsidR="009F4EAF" w:rsidP="009F4EAF" w14:paraId="38D8EE8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Riset Pasar</w:t>
      </w:r>
    </w:p>
    <w:p w:rsidR="009F4EAF" w:rsidP="009F4EAF" w14:paraId="216EF1D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eLearning diperkirakan akan tumbuh pada tingkat pertumbuhan tahunan gabungan (CAGR) sebesar 21,4% dari 2020 hingga 2027, mencapai $ 374,3 miliar pada tahun 2027, menurut laporan oleh Grand View Research.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didorong oleh faktor-faktor seperti meningkatnya adopsi pembelajaran daring, meningkatnya permintaan untuk pengembangan keterampilan, meningkatnya penggunaan perangkat seluler dan teknologi cloud, dan dampak pandemi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disegmentasi oleh pengguna akhir, mode pembelajaran, teknologi, dan wilayah.</w:t>
      </w:r>
    </w:p>
    <w:p w:rsidR="009F4EAF" w:rsidP="009F4EAF" w14:paraId="37A026C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Pengguna akhir utama pasar eLearning adalah akademis dan korporasi, dengan pengguna akhir yang diperkirakan akan tumbuh lebih cepat karena kebutuhan akan pelatihan ulang dan peningkatan keterampilan dalam lingkungan kerja yang berubah dengan cepat.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akademis mencakup pendidikan dasar (K-12), pendidikan tinggi, dan pelatihan kejuruan, sedangkan segmen korporat mencakup usaha kecil dan menengah (UKM) dan perusahaan besar.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korporasi menyumbang 42,4% dari pangsa pasar pada tahun 2019, dan diproyeksikan tumbuh pada CAGR 22,7% dari tahun 2020 hingga 2027.</w:t>
      </w:r>
    </w:p>
    <w:p w:rsidR="009F4EAF" w:rsidP="009F4EAF" w14:paraId="4E4046B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Mode pembelajaran utama di pasar eLearning adalah mandiri dan dipimpin oleh instruktur, dengan mode yang pertama diperkirakan akan mendominasi karena preferensi untuk fleksibilitas dan kenyamanan di antara para peserta.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mandiri mencakup pembelajaran asinkron, di mana peserta didik dapat mengakses konten sesuai dengan kecepatan dan waktu mereka sendiri, dan pembelajaran sinkron, di mana peserta didik dapat berinteraksi dengan instruktur dan rekan-rekan mereka secara real-time.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Segmen mandiri menyumbang 57,1% dari pangsa pasar pada tahun 2019, dan diproyeksikan tumbuh pada CAGR 21,9% dari tahun 2020 hingga 2027.</w:t>
      </w:r>
    </w:p>
    <w:p w:rsidR="009F4EAF" w:rsidP="009F4EAF" w14:paraId="66F302C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Teknologi utama pasar eLearning adalah sistem manajemen pembelajaran (LMS), pembelajaran mobile, pembelajaran mikro, gamifikasi, dan kecerdasan buatan (AI), dengan teknologi yang terakhir diperkirakan akan mengalami pertumbuhan tertinggi karena potensinya dalam meningkatkan hasil pembelajaran dan efisiensi.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LMS adalah aplikasi perangkat lunak yang memfasilitasi pengiriman, pengelolaan, dan pelacakan pembelajaran online.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Pembelajaran mobile adalah penyampaian konten pembelajaran melalui perangkat mobile seperti smartphone dan tablet.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Pembelajaran mikro adalah penyampaian konten pembelajaran dalam bentuk yang singkat dan padat.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Gamifikasi adalah penerapan elemen dan mekanisme permainan pada aktivitas pembelajaran untuk meningkatkan keterlibatan dan motivasi.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AI adalah simulasi kecerdasan dan penalaran manusia oleh mesin untuk memberikan pengalaman belajar yang dipersonalisasi dan adaptif.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AI menyumbang 6,2% dari pangsa pasar pada tahun 2019, dan diproyeksikan tumbuh pada CAGR 28,6% dari tahun 2020 hingga 2027.</w:t>
      </w:r>
    </w:p>
    <w:p w:rsidR="009F4EAF" w:rsidP="009F4EAF" w14:paraId="3816B5B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Pasar eLearning juga tersegmentasi berdasarkan wilayah, dengan Amerika Utara, Eropa, Asia Pasifik, Amerika Latin, serta Timur Tengah dan Afrika sebagai wilayah utama.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Amerika Utara menyumbang pangsa pasar terbesar sebesar 38,7% pada tahun 2019, karena tingginya adopsi pembelajaran online, kehadiran pemain besar, dan ketersediaan teknologi canggih.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Asia Pasifik diperkirakan akan menjadi wilayah dengan pertumbuhan tercepat, dengan CAGR 25,1% dari tahun 2020 hingga 2027, karena meningkatnya permintaan akan pendidikan online, meningkatnya penetrasi internet, dan meningkatnya investasi di sektor eLearning.</w:t>
      </w:r>
    </w:p>
    <w:p w:rsidR="009F4EAF" w:rsidP="009F4EAF" w14:paraId="7F373257"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Analisis Pesaing</w:t>
      </w:r>
    </w:p>
    <w:p w:rsidR="009F4EAF" w:rsidP="009F4EAF" w14:paraId="6B7D3BC5"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menghadapi persaingan dari berbagai pemain di pasar eLearning, seperti Fabrikam Learning dan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Para pesaing ini menawarkan fitur dan layanan yang serupa dengan ContosoLearn, seperti kursus online, agregasi konten, analisis dan pelaporan, serta sertifikasi.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Namun, mereka juga memiliki kekuatan, kelemahan, peluang, dan ancaman yang berbeda, seperti yang dirangkum dalam tabel berikut:</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Pesaing</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Kekuatan</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Kelemahan</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Peluang</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Ancaman</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Menyediakan seperangkat alat analisis dan pelaporan yang komprehensif.</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Mungkin akan membebani sebagian pengguna karena sifatnya yang komprehensif.</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Dapat memanfaatkan alat bantu analisis dan pelaporan yang kuat untuk memenuhi permintaan yang terus meningkat akan pengalaman belajar yang dipersonalisasi dan rekomendasi berbasis data.</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Menghadapi persaingan yang tinggi di pasar eLearning dengan banyak pemain yang menawarkan fitur serupa.</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Menawarkan kursus tentang teknik analisis bisnis seperti MOST dan SWOT.</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Mengandalkan informasi yang dihasilkan pihak ketiga untuk kursus-kursusnya.</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Dapat membuat lebih banyak konten orisinal untuk memberikan nilai unik kepada penggunanya.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Juga dapat memperluas penawaran kursusnya untuk mencakup lebih banyak topik.</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Seperti halnya Fabrikam Learning, juga menghadapi persaingan yang tinggi di pasar eLearning dengan banyak pemain yang menawarkan fitur serupa.</w:t>
            </w:r>
          </w:p>
        </w:tc>
      </w:tr>
    </w:tbl>
    <w:p w:rsidR="009F4EAF" w:rsidP="009F4EAF" w14:paraId="27A1076D"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Wawasan Strategis</w:t>
      </w:r>
    </w:p>
    <w:p w:rsidR="009F4EAF" w:rsidP="009F4EAF" w14:paraId="6B43AD6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Berdasarkan riset pasar dan analisis pesaing, wawasan strategis berikut ini dapat diperoleh untuk ContosoLearn:</w:t>
      </w:r>
    </w:p>
    <w:p w:rsidR="009F4EAF" w:rsidP="009F4EAF" w14:paraId="5EC2EA1E"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beroperasi di pasar yang berkembang pesat dan dinamis, dengan banyak peluang untuk pertumbuhan dan inovasi.</w:t>
      </w:r>
    </w:p>
    <w:p w:rsidR="009F4EAF" w:rsidP="009F4EAF" w14:paraId="74B17640"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memiliki proposisi nilai yang kuat, karena menawarkan pendamping AI yang adaptif untuk pelajar, memberikan rekomendasi yang disesuaikan, konten orisinal, dan wawasan yang dapat ditindaklanjuti.</w:t>
      </w:r>
    </w:p>
    <w:p w:rsidR="009F4EAF" w:rsidP="009F4EAF" w14:paraId="6338B821"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dapat membedakan dirinya dari para pesaingnya dengan memanfaatkan kekuatannya, seperti algoritma AI adaptifnya, konten orisinal dan terkurasi, dan sistem analitisnya yang disederhanakan namun kuat.</w:t>
      </w:r>
    </w:p>
    <w:p w:rsidR="009F4EAF" w:rsidP="009F4EAF" w14:paraId="3AE9A5B3"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dapat memanfaatkan peluang yang ada di pasar, seperti meningkatnya permintaan akan pengalaman belajar yang dipersonalisasi, rekomendasi berbasis data, serta validasi dan sertifikasi keterampilan.</w:t>
      </w:r>
    </w:p>
    <w:p w:rsidR="009F4EAF" w:rsidP="009F4EAF" w14:paraId="293A7B6B"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juga harus menyadari ancaman yang ada di pasar, seperti persaingan yang tinggi, perubahan ekspektasi pelanggan, dan tantangan regulasi dan etika.</w:t>
      </w:r>
    </w:p>
    <w:p w:rsidR="009F4EAF" w:rsidP="009F4EAF" w14:paraId="788DEF39"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Rekomendasi</w:t>
      </w:r>
    </w:p>
    <w:p w:rsidR="009F4EAF" w:rsidP="009F4EAF" w14:paraId="1BFE479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Berdasarkan wawasan strategis, rekomendasi berikut ini diusulkan untuk ContosoLearn agar dapat mencapai tujuan dan sasarannya:</w:t>
      </w:r>
    </w:p>
    <w:p w:rsidR="009F4EAF" w:rsidP="009F4EAF" w14:paraId="0ADFE478"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Memperluas penawaran kursus untuk mencakup lebih banyak topik dan keterampilan, terutama yang banyak diminati atau sedang berkembang di pasar kerja.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menarik dan mempertahankan lebih banyak pelanggan, serta meningkatkan pangsa pasar dan pendapatannya.</w:t>
      </w:r>
    </w:p>
    <w:p w:rsidR="009F4EAF" w:rsidP="009F4EAF" w14:paraId="35B5F4B6"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Bermitra dengan lembaga pendidikan dan perusahaan terkemuka untuk meningkatkan kredibilitas, jangkauan, dan kualitas konten.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meningkatkan citra mereknya, memperluas basis pelanggannya, dan mengakses lebih banyak sumber daya dan keahlian.</w:t>
      </w:r>
    </w:p>
    <w:p w:rsidR="009F4EAF" w:rsidP="009F4EAF" w14:paraId="71AA480D"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Berinvestasi dalam penelitian dan pengembangan untuk meningkatkan algoritma dan fitur AI, serta memastikan kepatuhannya terhadap standar etika dan hukum.</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mempertahankan keunggulan kompetitifnya, meningkatkan kepuasan pelanggannya, dan menghindari potensi risiko dan kewajiban.</w:t>
      </w:r>
    </w:p>
    <w:p w:rsidR="009F4EAF" w:rsidP="009F4EAF" w14:paraId="63E6C5CB"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Meningkatkan strategi pemasaran dan branding untuk meningkatkan kesadaran, pengakuan, dan loyalitas di antara calon pelanggan dan pelanggan yang sudah ada.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mengomunikasikan proposisi nilainya, membedakan diri dari para pesaingnya, dan membangun hubungan jangka panjang dengan para pelanggannya.</w:t>
      </w:r>
    </w:p>
    <w:p w:rsidR="009F4EAF" w:rsidP="009F4EAF" w14:paraId="1AB6FC8F"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Memberikan lebih banyak insentif dan manfaat bagi pelanggan premium dan pelanggan enterprise, seperti diskon, hadiah, dan akses eksklusif.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akan membantu ContosoLearn meningkatkan retensi, loyalitas, dan nilai seumur hidup pelanggannya.</w:t>
      </w:r>
    </w:p>
    <w:p w:rsidR="009F4EAF" w:rsidP="009F4EAF" w14:paraId="1047F09F"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en-US" w:bidi="ar-SA"/>
        </w:rPr>
        <w:t>Kesimpulan</w:t>
      </w:r>
    </w:p>
    <w:p w:rsidR="009F4EAF" w:rsidRPr="009F4EAF" w:rsidP="009F4EAF" w14:paraId="2A9001E9" w14:textId="0CF0E32D">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ContosoLearn adalah platform pembelajaran dan pengembangan keterampilan bertenaga AI yang bertujuan untuk menjembatani kesenjangan dalam pendidikan tradisional dan memberikan pengalaman belajar yang dipersonalisasi.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Platform ini beroperasi di pasar yang berkembang pesat dan dinamis, dengan banyak peluang untuk pertumbuhan dan inovasi.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Platform ini memiliki proposisi nilai yang kuat, karena menawarkan pendamping AI yang adaptif untuk pelajar, memberikan rekomendasi yang disesuaikan, konten orisinal, dan wawasan yang dapat ditindaklanjuti.</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Ini dapat membedakan dirinya dari para pesaingnya dengan memanfaatkan kekuatannya, seperti algoritma AI adaptifnya, konten orisinal dan terkurasi, dan sistem analitiknya yang disederhanakan namun kuat.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Hal ini juga dapat memanfaatkan peluang yang ada di pasar, seperti meningkatnya permintaan akan pengalaman belajar yang dipersonalisasi, rekomendasi berdasarkan data, serta validasi dan sertifikasi keterampilan.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Perusahaan juga harus menyadari ancaman yang ada di pasar, seperti persaingan yang tinggi, perubahan ekspektasi pelanggan, serta tantangan regulasi dan etika.</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Untuk mencapai tujuan dan sasarannya, ContosoLearn harus menerapkan rekomendasi berikut ini: memperluas penawaran kursusnya, bermitra dengan lembaga pendidikan dan perusahaan terkemuka, berinvestasi dalam penelitian dan pengembangan, meningkatkan strategi pemasaran dan pencitraan merek, dan memberikan lebih banyak insentif dan manfaat bagi pelanggan premium dan pelanggan enterprise.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id-ID" w:eastAsia="en-US" w:bidi="ar-SA"/>
        </w:rPr>
        <w:t>Dengan mengikuti rekomendasi ini, ContosoLearn dapat mencapai visinya untuk menjadi platform pembelajaran dan pengembangan keterampilan bertenaga AI terdepan di pasar.</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4</cp:revision>
  <dcterms:created xsi:type="dcterms:W3CDTF">2024-06-13T14:07:00Z</dcterms:created>
  <dcterms:modified xsi:type="dcterms:W3CDTF">2024-06-13T14:32:00Z</dcterms:modified>
</cp:coreProperties>
</file>