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اتفاقية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</w:t>
      </w:r>
    </w:p>
    <w:p w:rsidR="001F443C" w:rsidP="001F443C" w14:paraId="0F4EB312" w14:textId="77777777"/>
    <w:p w:rsidR="001F443C" w:rsidRPr="00C868AD" w:rsidP="001F443C" w14:paraId="593874F5" w14:textId="6ACDB5F4">
      <w:pPr>
        <w:bidi/>
      </w:pP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شركة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Traders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المورد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الحصري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للمشروبات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الغازية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والعصائر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لشركة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تتضمن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شروط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اتفاقية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المورد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كما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التفاوض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عليها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شركة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15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سبتمبر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2022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ما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يلي</w:t>
      </w:r>
      <w:r>
        <w:rPr>
          <w:rStyle w:val="normaltextrun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شروط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الدفع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 xml:space="preserve"> 10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صافي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رسوم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متأخرة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.5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٪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شهري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ًا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خصم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الدفع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المبكر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خصم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بنسبة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٪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غضون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أيام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تاريخ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انتهاء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الصلاحية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سبتمبر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2024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(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بعد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عامين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تاريخ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التوقيع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شروط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التجديد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سيتم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تجديد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الاتفاقية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تلقائي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ًا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لمدة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عام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آخر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ما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لم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يقدم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أي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من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الطرفين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إشعار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ًا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كتابي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ًا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بالإنهاء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قبل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30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يوم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ًا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على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الأقل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من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تاريخ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انتهاء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الصلاحية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.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الحد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الأدنى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لمبلغ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الطلب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100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علبة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شهري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ًا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الحد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الأقصى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لمبلغ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الطلب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500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علبة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 xml:space="preserve"> شهري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/>
                <w:cs w:val="0"/>
                <w:lang w:val="en-US" w:eastAsia="ja-JP" w:bidi="ar-SA"/>
              </w:rPr>
              <w:t>ًا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شروط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التسعير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سعر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السوق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وقت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الشراء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تعديلات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الأسعار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ي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ُسمح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بتعديل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الأسعار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بناء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ً على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ظروف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السوق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وتكلفة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 xml:space="preserve"> الإنتاج</w:t>
            </w:r>
            <w:r>
              <w:rPr>
                <w:rStyle w:val="normaltextrun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ja-JP" w:bidi="ar-SA"/>
              </w:rPr>
              <w:t>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