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Contoso-Lieferantenvereinbarung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Northwind Traders ist der exklusive Lieferant von Erfrischungsgetränken und Säften für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Bedingungen der Lieferantenvereinbarung, die am 15. September 2022 mit Contoso ausgehandelt wurde, beinhalten: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Zahlungsbedingungen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10 Tage 2 %, 30 Tage netto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Säumnisgebühr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1,5 % pro Monat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Skonto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2 % Rabatt innerhalb von 10 Tagen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Ablaufdatum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15. September 2024 (2 Jahre ab dem Datum der Unterzeichnung)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Verlängerungsbedingungen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Die Vereinbarung verlängert sich automatisch um ein weiteres Jahr, wenn sie nicht von einer der Parteien mindestens 30 Tage vor Ablauf schriftlich gekündigt wird.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Mindestbestellwert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100 Kisten pro Monat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Maximaler Bestellwert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500 Kisten pro Monat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Preisbedingungen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Marktpreis zum Zeitpunkt des Kaufs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Preisregulierungen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Preiskorrekturen sind auf der Grundlage der Marktbedingungen und der Produktionskosten zulässig.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