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>внесеними постановою КМУ від 25.03.2020 № 239).</w:t>
      </w:r>
    </w:p>
    <w:p w:rsidR="00F04DFD" w:rsidRPr="000D134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 xml:space="preserve">Боднар </w:t>
      </w:r>
      <w:r w:rsidR="00E76995" w:rsidRPr="000D1345">
        <w:rPr>
          <w:sz w:val="28"/>
          <w:szCs w:val="28"/>
        </w:rPr>
        <w:t xml:space="preserve">Наталії Петрівні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E76995" w:rsidRPr="000D1345">
        <w:rPr>
          <w:sz w:val="28"/>
          <w:szCs w:val="28"/>
          <w:shd w:val="clear" w:color="auto" w:fill="FFFFFF"/>
        </w:rPr>
        <w:t>карантину з 18.03.2020р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bookmarkStart w:id="2" w:name="_GoBack"/>
      <w:bookmarkEnd w:id="2"/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D1345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40</cp:revision>
  <cp:lastPrinted>2020-04-07T09:57:00Z</cp:lastPrinted>
  <dcterms:created xsi:type="dcterms:W3CDTF">2010-02-01T06:40:00Z</dcterms:created>
  <dcterms:modified xsi:type="dcterms:W3CDTF">2020-04-07T09:57:00Z</dcterms:modified>
</cp:coreProperties>
</file>