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L04 Worksheet — Phishing Anatomy &amp; ATT&amp;CK Mapping</w:t>
      </w:r>
    </w:p>
    <w:p>
      <w:pPr>
        <w:spacing w:after="120"/>
      </w:pPr>
      <w:r>
        <w:rPr>
          <w:b/>
        </w:rPr>
        <w:t>Name:</w:t>
      </w:r>
      <w:r>
        <w:t xml:space="preserve"> ________________________  </w:t>
      </w:r>
      <w:r>
        <w:rPr>
          <w:b/>
        </w:rPr>
        <w:t>Date:</w:t>
      </w:r>
      <w:r>
        <w:t xml:space="preserve"> ______________</w:t>
      </w:r>
    </w:p>
    <w:p>
      <w:pPr>
        <w:spacing w:after="120"/>
      </w:pPr>
      <w:r>
        <w:t xml:space="preserve">Fill this in </w:t>
      </w:r>
      <w:r>
        <w:rPr>
          <w:b/>
        </w:rPr>
        <w:t>as you go</w:t>
      </w:r>
      <w:r>
        <w:t xml:space="preserve"> — several questions ask for the exact header line you based a verdict on, which is much harder to reconstruct afterward.</w:t>
      </w:r>
    </w:p>
    <w:p>
      <w:pPr>
        <w:spacing w:after="120"/>
      </w:pPr>
      <w:r>
        <w:rPr>
          <w:b/>
        </w:rPr>
        <w:t>Submit:</w:t>
      </w:r>
      <w:r>
        <w:t xml:space="preserve"> this worksheet exported to </w:t>
      </w:r>
      <w:r>
        <w:rPr>
          <w:b/>
        </w:rPr>
        <w:t>PDF</w:t>
      </w:r>
      <w:r>
        <w:t xml:space="preserve">, </w:t>
      </w:r>
      <w:r>
        <w:rPr>
          <w:i/>
        </w:rPr>
        <w:t>and</w:t>
      </w:r>
      <w:r>
        <w:t xml:space="preserve"> the five findings in the Canvas quiz. Both due </w:t>
      </w:r>
      <w:r>
        <w:rPr>
          <w:b/>
        </w:rPr>
        <w:t>Sunday 11:59 PM</w:t>
      </w:r>
      <w:r>
        <w:t>.</w:t>
      </w:r>
    </w:p>
    <w:p>
      <w:pPr>
        <w:spacing w:after="120"/>
      </w:pPr>
      <w:r>
        <w:t xml:space="preserve">&gt; Everyone's five findings are the same — the messages are identical for the whole &gt; class, so matching values are expected and are not treated as collusion. </w:t>
      </w:r>
      <w:r>
        <w:rPr>
          <w:b/>
        </w:rPr>
        <w:t>What is &gt; yours is the reasoning</w:t>
      </w:r>
      <w:r>
        <w:t xml:space="preserve"> in sections D, E, F and G.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1"/>
      </w:pPr>
      <w:r>
        <w:t>A. Environment</w:t>
      </w:r>
    </w:p>
    <w:p>
      <w:pPr>
        <w:spacing w:after="120"/>
      </w:pPr>
      <w:r>
        <w:rPr>
          <w:b/>
        </w:rPr>
        <w:t>A.1</w:t>
      </w:r>
      <w:r>
        <w:t xml:space="preserve"> Paste the output of </w:t>
      </w:r>
      <w:r>
        <w:rPr>
          <w:rFonts w:ascii="Consolas" w:hAnsi="Consolas"/>
          <w:color w:val="333333"/>
          <w:sz w:val="19"/>
        </w:rPr>
        <w:t>docker compose ps</w:t>
      </w:r>
      <w:r>
        <w:t xml:space="preserve"> (or write the service name and state):</w:t>
      </w:r>
    </w:p>
    <w:p>
      <w:pPr>
        <w:spacing w:after="120"/>
      </w:pPr>
      <w:r>
        <w:rPr>
          <w:rFonts w:ascii="Consolas" w:hAnsi="Consolas"/>
          <w:color w:val="333333"/>
          <w:sz w:val="19"/>
        </w:rPr>
      </w:r>
      <w:r>
        <w:rPr>
          <w:rFonts w:ascii="Consolas" w:hAnsi="Consolas"/>
          <w:color w:val="333333"/>
          <w:sz w:val="19"/>
        </w:rPr>
        <w:t xml:space="preserve"> </w:t>
      </w:r>
      <w:r>
        <w:rPr>
          <w:rFonts w:ascii="Consolas" w:hAnsi="Consolas"/>
          <w:color w:val="333333"/>
          <w:sz w:val="19"/>
        </w:rPr>
      </w:r>
    </w:p>
    <w:p>
      <w:pPr>
        <w:spacing w:after="120"/>
      </w:pPr>
      <w:r>
        <w:rPr>
          <w:b/>
        </w:rPr>
        <w:t>A.2</w:t>
      </w:r>
      <w:r>
        <w:t xml:space="preserve"> How many message files are in </w:t>
      </w:r>
      <w:r>
        <w:rPr>
          <w:rFonts w:ascii="Consolas" w:hAnsi="Consolas"/>
          <w:color w:val="333333"/>
          <w:sz w:val="19"/>
        </w:rPr>
        <w:t>/cases/</w:t>
      </w:r>
      <w:r>
        <w:t>? _______</w:t>
      </w:r>
    </w:p>
    <w:p>
      <w:pPr>
        <w:spacing w:after="120"/>
      </w:pPr>
      <w:r>
        <w:rPr>
          <w:b/>
        </w:rPr>
        <w:t>A.3</w:t>
      </w:r>
      <w:r>
        <w:t xml:space="preserve"> This lab involved no scanning and no network targets. In one sentence, why did that make the authorization question from L03 inapplicable this week?</w:t>
      </w:r>
    </w:p>
    <w:p>
      <w:pPr>
        <w:spacing w:after="120"/>
      </w:pPr>
      <w:r>
        <w:rPr>
          <w:rFonts w:ascii="Consolas" w:hAnsi="Consolas"/>
          <w:color w:val="333333"/>
          <w:sz w:val="19"/>
        </w:rPr>
      </w:r>
      <w:r>
        <w:rPr>
          <w:rFonts w:ascii="Consolas" w:hAnsi="Consolas"/>
          <w:color w:val="333333"/>
          <w:sz w:val="19"/>
        </w:rPr>
        <w:t xml:space="preserve"> </w:t>
      </w:r>
      <w:r>
        <w:rPr>
          <w:rFonts w:ascii="Consolas" w:hAnsi="Consolas"/>
          <w:color w:val="333333"/>
          <w:sz w:val="19"/>
        </w:rPr>
      </w:r>
    </w:p>
    <w:p>
      <w:pPr>
        <w:spacing w:before="40" w:after="120"/>
        <w:pBdr>
          <w:bottom w:val="single" w:sz="6" w:color="BBBBBB"/>
        </w:pBdr>
      </w:pPr>
    </w:p>
    <w:p>
      <w:pPr>
        <w:pStyle w:val="Heading1"/>
      </w:pPr>
      <w:r>
        <w:t>B. Reading one message</w:t>
      </w:r>
    </w:p>
    <w:p>
      <w:pPr>
        <w:spacing w:after="120"/>
      </w:pPr>
      <w:r>
        <w:t xml:space="preserve">All of section B is about </w:t>
      </w:r>
      <w:r>
        <w:rPr>
          <w:b/>
        </w:rPr>
        <w:t>case01</w:t>
      </w:r>
      <w:r>
        <w:t>.</w:t>
      </w:r>
    </w:p>
    <w:p>
      <w:pPr>
        <w:spacing w:after="120"/>
      </w:pPr>
      <w:r>
        <w:rPr>
          <w:b/>
        </w:rPr>
        <w:t>B.1</w:t>
      </w:r>
      <w:r>
        <w:t xml:space="preserve"> Two domains, copied exactly: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</w:r>
          </w:p>
        </w:tc>
        <w:tc>
          <w:tcPr>
            <w:tcW w:type="dxa" w:w="4968"/>
          </w:tcPr>
          <w:p>
            <w:r>
              <w:rPr>
                <w:b/>
              </w:rPr>
            </w:r>
            <w:r>
              <w:rPr>
                <w:b/>
              </w:rPr>
              <w:t>Domain</w:t>
            </w:r>
          </w:p>
        </w:tc>
      </w:tr>
      <w:tr>
        <w:trPr>
          <w:trHeight w:val="520"/>
        </w:trPr>
        <w:tc>
          <w:tcPr>
            <w:tcW w:type="dxa" w:w="4968"/>
          </w:tcPr>
          <w:p>
            <w:r/>
            <w:r>
              <w:t xml:space="preserve">The domain in the </w:t>
            </w:r>
            <w:r>
              <w:rPr>
                <w:rFonts w:ascii="Consolas" w:hAnsi="Consolas"/>
                <w:color w:val="333333"/>
                <w:sz w:val="19"/>
              </w:rPr>
              <w:t>To:</w:t>
            </w:r>
            <w:r>
              <w:t xml:space="preserve"> line (the company's real one)</w:t>
            </w:r>
          </w:p>
        </w:tc>
        <w:tc>
          <w:tcPr>
            <w:tcW w:type="dxa" w:w="4968"/>
          </w:tcPr>
          <w:p/>
        </w:tc>
      </w:tr>
      <w:tr>
        <w:trPr>
          <w:trHeight w:val="520"/>
        </w:trPr>
        <w:tc>
          <w:tcPr>
            <w:tcW w:type="dxa" w:w="4968"/>
          </w:tcPr>
          <w:p>
            <w:r/>
            <w:r>
              <w:t xml:space="preserve">The domain in the </w:t>
            </w:r>
            <w:r>
              <w:rPr>
                <w:rFonts w:ascii="Consolas" w:hAnsi="Consolas"/>
                <w:color w:val="333333"/>
                <w:sz w:val="19"/>
              </w:rPr>
              <w:t>From:</w:t>
            </w:r>
            <w:r>
              <w:t xml:space="preserve"> line</w:t>
            </w:r>
          </w:p>
        </w:tc>
        <w:tc>
          <w:tcPr>
            <w:tcW w:type="dxa" w:w="4968"/>
          </w:tcPr>
          <w:p/>
        </w:tc>
      </w:tr>
    </w:tbl>
    <w:p/>
    <w:p>
      <w:pPr>
        <w:spacing w:after="120"/>
      </w:pPr>
      <w:r>
        <w:t>What is the difference between them, in your own words?</w:t>
      </w:r>
    </w:p>
    <w:p>
      <w:pPr>
        <w:spacing w:after="120"/>
      </w:pPr>
      <w:r>
        <w:rPr>
          <w:rFonts w:ascii="Consolas" w:hAnsi="Consolas"/>
          <w:color w:val="333333"/>
          <w:sz w:val="19"/>
        </w:rPr>
      </w:r>
      <w:r>
        <w:rPr>
          <w:rFonts w:ascii="Consolas" w:hAnsi="Consolas"/>
          <w:color w:val="333333"/>
          <w:sz w:val="19"/>
        </w:rPr>
        <w:t xml:space="preserve"> </w:t>
      </w:r>
      <w:r>
        <w:rPr>
          <w:rFonts w:ascii="Consolas" w:hAnsi="Consolas"/>
          <w:color w:val="333333"/>
          <w:sz w:val="19"/>
        </w:rPr>
      </w:r>
    </w:p>
    <w:p>
      <w:pPr>
        <w:spacing w:after="120"/>
      </w:pPr>
      <w:r>
        <w:rPr>
          <w:b/>
        </w:rPr>
        <w:t>B.2</w:t>
      </w:r>
      <w:r>
        <w:t xml:space="preserve"> Record case01's three authentication results: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</w:r>
            <w:r>
              <w:rPr>
                <w:b/>
              </w:rPr>
              <w:t>Check</w:t>
            </w:r>
          </w:p>
        </w:tc>
        <w:tc>
          <w:tcPr>
            <w:tcW w:type="dxa" w:w="4968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rPr>
          <w:trHeight w:val="520"/>
        </w:trPr>
        <w:tc>
          <w:tcPr>
            <w:tcW w:type="dxa" w:w="4968"/>
          </w:tcPr>
          <w:p>
            <w:r/>
            <w:r>
              <w:rPr>
                <w:rFonts w:ascii="Consolas" w:hAnsi="Consolas"/>
                <w:color w:val="333333"/>
                <w:sz w:val="19"/>
              </w:rPr>
              <w:t>spf=</w:t>
            </w:r>
          </w:p>
        </w:tc>
        <w:tc>
          <w:tcPr>
            <w:tcW w:type="dxa" w:w="4968"/>
          </w:tcPr>
          <w:p/>
        </w:tc>
      </w:tr>
      <w:tr>
        <w:trPr>
          <w:trHeight w:val="520"/>
        </w:trPr>
        <w:tc>
          <w:tcPr>
            <w:tcW w:type="dxa" w:w="4968"/>
          </w:tcPr>
          <w:p>
            <w:r/>
            <w:r>
              <w:rPr>
                <w:rFonts w:ascii="Consolas" w:hAnsi="Consolas"/>
                <w:color w:val="333333"/>
                <w:sz w:val="19"/>
              </w:rPr>
              <w:t>dkim=</w:t>
            </w:r>
          </w:p>
        </w:tc>
        <w:tc>
          <w:tcPr>
            <w:tcW w:type="dxa" w:w="4968"/>
          </w:tcPr>
          <w:p/>
        </w:tc>
      </w:tr>
      <w:tr>
        <w:trPr>
          <w:trHeight w:val="520"/>
        </w:trPr>
        <w:tc>
          <w:tcPr>
            <w:tcW w:type="dxa" w:w="4968"/>
          </w:tcPr>
          <w:p>
            <w:r/>
            <w:r>
              <w:rPr>
                <w:rFonts w:ascii="Consolas" w:hAnsi="Consolas"/>
                <w:color w:val="333333"/>
                <w:sz w:val="19"/>
              </w:rPr>
              <w:t>dmarc=</w:t>
            </w:r>
          </w:p>
        </w:tc>
        <w:tc>
          <w:tcPr>
            <w:tcW w:type="dxa" w:w="4968"/>
          </w:tcPr>
          <w:p/>
        </w:tc>
      </w:tr>
    </w:tbl>
    <w:p/>
    <w:p>
      <w:pPr>
        <w:spacing w:after="120"/>
      </w:pPr>
      <w:r>
        <w:rPr>
          <w:b/>
        </w:rPr>
        <w:t>B.3</w:t>
      </w:r>
      <w:r>
        <w:t xml:space="preserve"> The </w:t>
      </w:r>
      <w:r>
        <w:rPr>
          <w:rFonts w:ascii="Consolas" w:hAnsi="Consolas"/>
          <w:color w:val="333333"/>
          <w:sz w:val="19"/>
        </w:rPr>
        <w:t>Reply-To:</w:t>
      </w:r>
      <w:r>
        <w:t xml:space="preserve"> address is on a different domain from the </w:t>
      </w:r>
      <w:r>
        <w:rPr>
          <w:rFonts w:ascii="Consolas" w:hAnsi="Consolas"/>
          <w:color w:val="333333"/>
          <w:sz w:val="19"/>
        </w:rPr>
        <w:t>From:</w:t>
      </w:r>
      <w:r>
        <w:t xml:space="preserve"> address. Name one </w:t>
      </w:r>
      <w:r>
        <w:rPr>
          <w:b/>
        </w:rPr>
        <w:t>legitimate</w:t>
      </w:r>
      <w:r>
        <w:t xml:space="preserve"> reason a real business message might do that.</w:t>
      </w:r>
    </w:p>
    <w:p>
      <w:pPr>
        <w:spacing w:after="120"/>
      </w:pPr>
      <w:r>
        <w:rPr>
          <w:rFonts w:ascii="Consolas" w:hAnsi="Consolas"/>
          <w:color w:val="333333"/>
          <w:sz w:val="19"/>
        </w:rPr>
      </w:r>
      <w:r>
        <w:rPr>
          <w:rFonts w:ascii="Consolas" w:hAnsi="Consolas"/>
          <w:color w:val="333333"/>
          <w:sz w:val="19"/>
        </w:rPr>
        <w:t xml:space="preserve"> </w:t>
      </w:r>
      <w:r>
        <w:rPr>
          <w:rFonts w:ascii="Consolas" w:hAnsi="Consolas"/>
          <w:color w:val="333333"/>
          <w:sz w:val="19"/>
        </w:rPr>
      </w:r>
    </w:p>
    <w:p>
      <w:pPr>
        <w:spacing w:after="120"/>
      </w:pPr>
      <w:r>
        <w:rPr>
          <w:b/>
        </w:rPr>
        <w:t>B.4</w:t>
      </w:r>
      <w:r>
        <w:t xml:space="preserve"> In the </w:t>
      </w:r>
      <w:r>
        <w:rPr>
          <w:rFonts w:ascii="Consolas" w:hAnsi="Consolas"/>
          <w:color w:val="333333"/>
          <w:sz w:val="19"/>
        </w:rPr>
        <w:t>Received:</w:t>
      </w:r>
      <w:r>
        <w:t xml:space="preserve"> chain, which line was written by a server </w:t>
      </w:r>
      <w:r>
        <w:rPr>
          <w:b/>
        </w:rPr>
        <w:t>your own organization controls</w:t>
      </w:r>
      <w:r>
        <w:t xml:space="preserve"> — the top one or the bottom one? Why does that make it harder to forge than the </w:t>
      </w:r>
      <w:r>
        <w:rPr>
          <w:rFonts w:ascii="Consolas" w:hAnsi="Consolas"/>
          <w:color w:val="333333"/>
          <w:sz w:val="19"/>
        </w:rPr>
        <w:t>From:</w:t>
      </w:r>
      <w:r>
        <w:t xml:space="preserve"> header?</w:t>
      </w:r>
    </w:p>
    <w:p>
      <w:pPr>
        <w:spacing w:after="120"/>
      </w:pPr>
      <w:r>
        <w:rPr>
          <w:rFonts w:ascii="Consolas" w:hAnsi="Consolas"/>
          <w:color w:val="333333"/>
          <w:sz w:val="19"/>
        </w:rPr>
      </w:r>
      <w:r>
        <w:rPr>
          <w:rFonts w:ascii="Consolas" w:hAnsi="Consolas"/>
          <w:color w:val="333333"/>
          <w:sz w:val="19"/>
        </w:rPr>
        <w:t xml:space="preserve"> </w:t>
      </w:r>
      <w:r>
        <w:rPr>
          <w:rFonts w:ascii="Consolas" w:hAnsi="Consolas"/>
          <w:color w:val="333333"/>
          <w:sz w:val="19"/>
        </w:rPr>
      </w:r>
    </w:p>
    <w:p>
      <w:pPr>
        <w:spacing w:before="40" w:after="120"/>
        <w:pBdr>
          <w:bottom w:val="single" w:sz="6" w:color="BBBBBB"/>
        </w:pBdr>
      </w:pPr>
    </w:p>
    <w:p>
      <w:pPr>
        <w:pStyle w:val="Heading1"/>
      </w:pPr>
      <w:r>
        <w:t>C. Findings</w:t>
      </w:r>
    </w:p>
    <w:p>
      <w:pPr>
        <w:spacing w:after="120"/>
      </w:pPr>
      <w:r>
        <w:rPr>
          <w:b/>
        </w:rPr>
        <w:t>C.1</w:t>
      </w:r>
      <w:r>
        <w:t xml:space="preserve"> The grid. One row per message, from the loop in §3 of the guide: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</w:r>
            <w:r>
              <w:rPr>
                <w:b/>
              </w:rPr>
              <w:t>Message</w:t>
            </w:r>
          </w:p>
        </w:tc>
        <w:tc>
          <w:tcPr>
            <w:tcW w:type="dxa" w:w="2484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color w:val="333333"/>
                <w:sz w:val="19"/>
              </w:rPr>
              <w:t>spf=</w:t>
            </w:r>
          </w:p>
        </w:tc>
        <w:tc>
          <w:tcPr>
            <w:tcW w:type="dxa" w:w="2484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color w:val="333333"/>
                <w:sz w:val="19"/>
              </w:rPr>
              <w:t>dkim=</w:t>
            </w:r>
          </w:p>
        </w:tc>
        <w:tc>
          <w:tcPr>
            <w:tcW w:type="dxa" w:w="2484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color w:val="333333"/>
                <w:sz w:val="19"/>
              </w:rPr>
              <w:t>dmarc=</w:t>
            </w:r>
          </w:p>
        </w:tc>
      </w:tr>
      <w:tr>
        <w:trPr>
          <w:trHeight w:val="520"/>
        </w:trPr>
        <w:tc>
          <w:tcPr>
            <w:tcW w:type="dxa" w:w="2484"/>
          </w:tcPr>
          <w:p>
            <w:r/>
            <w:r>
              <w:t>case01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rPr>
          <w:trHeight w:val="520"/>
        </w:trPr>
        <w:tc>
          <w:tcPr>
            <w:tcW w:type="dxa" w:w="2484"/>
          </w:tcPr>
          <w:p>
            <w:r/>
            <w:r>
              <w:t>case02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rPr>
          <w:trHeight w:val="520"/>
        </w:trPr>
        <w:tc>
          <w:tcPr>
            <w:tcW w:type="dxa" w:w="2484"/>
          </w:tcPr>
          <w:p>
            <w:r/>
            <w:r>
              <w:t>case03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rPr>
          <w:trHeight w:val="520"/>
        </w:trPr>
        <w:tc>
          <w:tcPr>
            <w:tcW w:type="dxa" w:w="2484"/>
          </w:tcPr>
          <w:p>
            <w:r/>
            <w:r>
              <w:t>case04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rPr>
          <w:trHeight w:val="520"/>
        </w:trPr>
        <w:tc>
          <w:tcPr>
            <w:tcW w:type="dxa" w:w="2484"/>
          </w:tcPr>
          <w:p>
            <w:r/>
            <w:r>
              <w:t>case05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</w:tbl>
    <w:p/>
    <w:p>
      <w:pPr>
        <w:spacing w:after="120"/>
      </w:pPr>
      <w:r>
        <w:t xml:space="preserve">How many of the five pass </w:t>
      </w:r>
      <w:r>
        <w:rPr>
          <w:b/>
        </w:rPr>
        <w:t>all three</w:t>
      </w:r>
      <w:r>
        <w:t>? _______</w:t>
      </w:r>
    </w:p>
    <w:p>
      <w:pPr>
        <w:spacing w:after="120"/>
      </w:pPr>
      <w:r>
        <w:rPr>
          <w:b/>
        </w:rPr>
        <w:t>C.2</w:t>
      </w:r>
      <w:r>
        <w:t xml:space="preserve"> Links — displayed text vs. actual destination: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</w:r>
            <w:r>
              <w:rPr>
                <w:b/>
              </w:rPr>
              <w:t>Message</w:t>
            </w:r>
          </w:p>
        </w:tc>
        <w:tc>
          <w:tcPr>
            <w:tcW w:type="dxa" w:w="2484"/>
          </w:tcPr>
          <w:p>
            <w:r>
              <w:rPr>
                <w:b/>
              </w:rPr>
            </w:r>
            <w:r>
              <w:rPr>
                <w:b/>
              </w:rPr>
              <w:t>Shown as</w:t>
            </w:r>
          </w:p>
        </w:tc>
        <w:tc>
          <w:tcPr>
            <w:tcW w:type="dxa" w:w="2484"/>
          </w:tcPr>
          <w:p>
            <w:r>
              <w:rPr>
                <w:b/>
              </w:rPr>
            </w:r>
            <w:r>
              <w:rPr>
                <w:b/>
              </w:rPr>
              <w:t>Goes to</w:t>
            </w:r>
          </w:p>
        </w:tc>
        <w:tc>
          <w:tcPr>
            <w:tcW w:type="dxa" w:w="2484"/>
          </w:tcPr>
          <w:p>
            <w:r>
              <w:rPr>
                <w:b/>
              </w:rPr>
            </w:r>
            <w:r>
              <w:rPr>
                <w:b/>
              </w:rPr>
              <w:t>Same host?</w:t>
            </w:r>
          </w:p>
        </w:tc>
      </w:tr>
      <w:tr>
        <w:trPr>
          <w:trHeight w:val="520"/>
        </w:trPr>
        <w:tc>
          <w:tcPr>
            <w:tcW w:type="dxa" w:w="2484"/>
          </w:tcPr>
          <w:p>
            <w:r/>
            <w:r>
              <w:t>case01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rPr>
          <w:trHeight w:val="520"/>
        </w:trPr>
        <w:tc>
          <w:tcPr>
            <w:tcW w:type="dxa" w:w="2484"/>
          </w:tcPr>
          <w:p>
            <w:r/>
            <w:r>
              <w:t>case02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rPr>
          <w:trHeight w:val="520"/>
        </w:trPr>
        <w:tc>
          <w:tcPr>
            <w:tcW w:type="dxa" w:w="2484"/>
          </w:tcPr>
          <w:p>
            <w:r/>
            <w:r>
              <w:t>case05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</w:tbl>
    <w:p/>
    <w:p>
      <w:pPr>
        <w:spacing w:after="120"/>
      </w:pPr>
      <w:r>
        <w:rPr>
          <w:b/>
        </w:rPr>
        <w:t>C.3</w:t>
      </w:r>
      <w:r>
        <w:t xml:space="preserve"> The five findings you'll enter in Canvas: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</w:r>
          </w:p>
        </w:tc>
        <w:tc>
          <w:tcPr>
            <w:tcW w:type="dxa" w:w="3312"/>
          </w:tcPr>
          <w:p>
            <w:r>
              <w:rPr>
                <w:b/>
              </w:rPr>
            </w:r>
            <w:r>
              <w:rPr>
                <w:b/>
              </w:rPr>
              <w:t>Finding</w:t>
            </w:r>
          </w:p>
        </w:tc>
        <w:tc>
          <w:tcPr>
            <w:tcW w:type="dxa" w:w="3312"/>
          </w:tcPr>
          <w:p>
            <w:r>
              <w:rPr>
                <w:b/>
              </w:rPr>
            </w:r>
            <w:r>
              <w:rPr>
                <w:b/>
              </w:rPr>
              <w:t>Your answer</w:t>
            </w:r>
          </w:p>
        </w:tc>
      </w:tr>
      <w:tr>
        <w:trPr>
          <w:trHeight w:val="520"/>
        </w:trPr>
        <w:tc>
          <w:tcPr>
            <w:tcW w:type="dxa" w:w="3312"/>
          </w:tcPr>
          <w:p>
            <w:r/>
            <w:r>
              <w:rPr>
                <w:b/>
              </w:rPr>
              <w:t>F1</w:t>
            </w:r>
          </w:p>
        </w:tc>
        <w:tc>
          <w:tcPr>
            <w:tcW w:type="dxa" w:w="3312"/>
          </w:tcPr>
          <w:p>
            <w:r/>
            <w:r>
              <w:t xml:space="preserve">The malicious message that is a </w:t>
            </w:r>
            <w:r>
              <w:rPr>
                <w:b/>
              </w:rPr>
              <w:t>reply inserted into a real existing thread</w:t>
            </w:r>
          </w:p>
        </w:tc>
        <w:tc>
          <w:tcPr>
            <w:tcW w:type="dxa" w:w="3312"/>
          </w:tcPr>
          <w:p/>
        </w:tc>
      </w:tr>
      <w:tr>
        <w:trPr>
          <w:trHeight w:val="520"/>
        </w:trPr>
        <w:tc>
          <w:tcPr>
            <w:tcW w:type="dxa" w:w="3312"/>
          </w:tcPr>
          <w:p>
            <w:r/>
            <w:r>
              <w:rPr>
                <w:b/>
              </w:rPr>
              <w:t>F2</w:t>
            </w:r>
          </w:p>
        </w:tc>
        <w:tc>
          <w:tcPr>
            <w:tcW w:type="dxa" w:w="3312"/>
          </w:tcPr>
          <w:p>
            <w:r/>
            <w:r>
              <w:t xml:space="preserve">The </w:t>
            </w:r>
            <w:r>
              <w:rPr>
                <w:rFonts w:ascii="Consolas" w:hAnsi="Consolas"/>
                <w:color w:val="333333"/>
                <w:sz w:val="19"/>
              </w:rPr>
              <w:t>From:</w:t>
            </w:r>
            <w:r>
              <w:t xml:space="preserve"> domain in the password-expiry message that </w:t>
            </w:r>
            <w:r>
              <w:rPr>
                <w:b/>
              </w:rPr>
              <w:t>imitates the company's own domain</w:t>
            </w:r>
          </w:p>
        </w:tc>
        <w:tc>
          <w:tcPr>
            <w:tcW w:type="dxa" w:w="3312"/>
          </w:tcPr>
          <w:p/>
        </w:tc>
      </w:tr>
      <w:tr>
        <w:trPr>
          <w:trHeight w:val="520"/>
        </w:trPr>
        <w:tc>
          <w:tcPr>
            <w:tcW w:type="dxa" w:w="3312"/>
          </w:tcPr>
          <w:p>
            <w:r/>
            <w:r>
              <w:rPr>
                <w:b/>
              </w:rPr>
              <w:t>F3</w:t>
            </w:r>
          </w:p>
        </w:tc>
        <w:tc>
          <w:tcPr>
            <w:tcW w:type="dxa" w:w="3312"/>
          </w:tcPr>
          <w:p>
            <w:r/>
            <w:r>
              <w:t xml:space="preserve">The </w:t>
            </w:r>
            <w:r>
              <w:rPr>
                <w:b/>
              </w:rPr>
              <w:t>host the decoded attachment submits credentials to</w:t>
            </w:r>
          </w:p>
        </w:tc>
        <w:tc>
          <w:tcPr>
            <w:tcW w:type="dxa" w:w="3312"/>
          </w:tcPr>
          <w:p/>
        </w:tc>
      </w:tr>
      <w:tr>
        <w:trPr>
          <w:trHeight w:val="520"/>
        </w:trPr>
        <w:tc>
          <w:tcPr>
            <w:tcW w:type="dxa" w:w="3312"/>
          </w:tcPr>
          <w:p>
            <w:r/>
            <w:r>
              <w:rPr>
                <w:b/>
              </w:rPr>
              <w:t>F4</w:t>
            </w:r>
          </w:p>
        </w:tc>
        <w:tc>
          <w:tcPr>
            <w:tcW w:type="dxa" w:w="3312"/>
          </w:tcPr>
          <w:p>
            <w:r/>
            <w:r>
              <w:t xml:space="preserve">The </w:t>
            </w:r>
            <w:r>
              <w:rPr>
                <w:b/>
              </w:rPr>
              <w:t>SHA-256 of the decoded attachment</w:t>
            </w:r>
          </w:p>
        </w:tc>
        <w:tc>
          <w:tcPr>
            <w:tcW w:type="dxa" w:w="3312"/>
          </w:tcPr>
          <w:p/>
        </w:tc>
      </w:tr>
      <w:tr>
        <w:trPr>
          <w:trHeight w:val="520"/>
        </w:trPr>
        <w:tc>
          <w:tcPr>
            <w:tcW w:type="dxa" w:w="3312"/>
          </w:tcPr>
          <w:p>
            <w:r/>
            <w:r>
              <w:rPr>
                <w:b/>
              </w:rPr>
              <w:t>F5</w:t>
            </w:r>
          </w:p>
        </w:tc>
        <w:tc>
          <w:tcPr>
            <w:tcW w:type="dxa" w:w="3312"/>
          </w:tcPr>
          <w:p>
            <w:r/>
            <w:r>
              <w:t xml:space="preserve">The message that is </w:t>
            </w:r>
            <w:r>
              <w:rPr>
                <w:b/>
              </w:rPr>
              <w:t>legitimate</w:t>
            </w:r>
            <w:r>
              <w:t xml:space="preserve"> and should </w:t>
            </w:r>
            <w:r>
              <w:rPr>
                <w:b/>
              </w:rPr>
              <w:t>not</w:t>
            </w:r>
            <w:r>
              <w:t xml:space="preserve"> be escalated</w:t>
            </w:r>
          </w:p>
        </w:tc>
        <w:tc>
          <w:tcPr>
            <w:tcW w:type="dxa" w:w="3312"/>
          </w:tcPr>
          <w:p/>
        </w:tc>
      </w:tr>
    </w:tbl>
    <w:p/>
    <w:p>
      <w:pPr>
        <w:spacing w:after="120"/>
      </w:pPr>
      <w:r>
        <w:rPr>
          <w:b/>
        </w:rPr>
        <w:t>C.4</w:t>
      </w:r>
      <w:r>
        <w:t xml:space="preserve"> For </w:t>
      </w:r>
      <w:r>
        <w:rPr>
          <w:b/>
        </w:rPr>
        <w:t>F4</w:t>
      </w:r>
      <w:r>
        <w:t>, give the two different commands you used to arrive at the same digest:</w:t>
      </w:r>
    </w:p>
    <w:p>
      <w:pPr>
        <w:spacing w:after="120"/>
      </w:pPr>
      <w:r>
        <w:rPr>
          <w:rFonts w:ascii="Consolas" w:hAnsi="Consolas"/>
          <w:color w:val="333333"/>
          <w:sz w:val="19"/>
        </w:rPr>
      </w:r>
      <w:r>
        <w:rPr>
          <w:rFonts w:ascii="Consolas" w:hAnsi="Consolas"/>
          <w:color w:val="333333"/>
          <w:sz w:val="19"/>
        </w:rPr>
        <w:t xml:space="preserve"> 1. 2. </w:t>
      </w:r>
      <w:r>
        <w:rPr>
          <w:rFonts w:ascii="Consolas" w:hAnsi="Consolas"/>
          <w:color w:val="333333"/>
          <w:sz w:val="19"/>
        </w:rPr>
      </w:r>
    </w:p>
    <w:p>
      <w:pPr>
        <w:spacing w:before="40" w:after="120"/>
        <w:pBdr>
          <w:bottom w:val="single" w:sz="6" w:color="BBBBBB"/>
        </w:pBdr>
      </w:pPr>
    </w:p>
    <w:p>
      <w:pPr>
        <w:pStyle w:val="Heading1"/>
      </w:pPr>
      <w:r>
        <w:t xml:space="preserve">D. Verdicts and reasoning </w:t>
      </w:r>
      <w:r>
        <w:rPr>
          <w:i/>
        </w:rPr>
        <w:t>(graded)</w:t>
      </w:r>
    </w:p>
    <w:p>
      <w:pPr>
        <w:spacing w:after="120"/>
      </w:pPr>
      <w:r>
        <w:t xml:space="preserve">A verdict with no evidence attached is an impression. For </w:t>
      </w:r>
      <w:r>
        <w:rPr>
          <w:b/>
        </w:rPr>
        <w:t>each</w:t>
      </w:r>
      <w:r>
        <w:t xml:space="preserve"> message: malicious or legitimate, and </w:t>
      </w:r>
      <w:r>
        <w:rPr>
          <w:b/>
        </w:rPr>
        <w:t>the specific header line, link, or file content</w:t>
      </w:r>
      <w:r>
        <w:t xml:space="preserve"> that supports it. One or two sentences each.</w:t>
      </w:r>
    </w:p>
    <w:p>
      <w:pPr>
        <w:spacing w:after="120"/>
      </w:pPr>
      <w:r>
        <w:rPr>
          <w:b/>
        </w:rPr>
        <w:t>D.1 — case01</w:t>
      </w:r>
    </w:p>
    <w:p>
      <w:pPr>
        <w:spacing w:after="120"/>
      </w:pPr>
      <w:r>
        <w:rPr>
          <w:rFonts w:ascii="Consolas" w:hAnsi="Consolas"/>
          <w:color w:val="333333"/>
          <w:sz w:val="19"/>
        </w:rPr>
      </w:r>
      <w:r>
        <w:rPr>
          <w:rFonts w:ascii="Consolas" w:hAnsi="Consolas"/>
          <w:color w:val="333333"/>
          <w:sz w:val="19"/>
        </w:rPr>
        <w:t xml:space="preserve"> </w:t>
      </w:r>
      <w:r>
        <w:rPr>
          <w:rFonts w:ascii="Consolas" w:hAnsi="Consolas"/>
          <w:color w:val="333333"/>
          <w:sz w:val="19"/>
        </w:rPr>
      </w:r>
    </w:p>
    <w:p>
      <w:pPr>
        <w:spacing w:after="120"/>
      </w:pPr>
      <w:r>
        <w:rPr>
          <w:b/>
        </w:rPr>
        <w:t>D.2 — case02</w:t>
      </w:r>
    </w:p>
    <w:p>
      <w:pPr>
        <w:spacing w:after="120"/>
      </w:pPr>
      <w:r>
        <w:rPr>
          <w:rFonts w:ascii="Consolas" w:hAnsi="Consolas"/>
          <w:color w:val="333333"/>
          <w:sz w:val="19"/>
        </w:rPr>
      </w:r>
      <w:r>
        <w:rPr>
          <w:rFonts w:ascii="Consolas" w:hAnsi="Consolas"/>
          <w:color w:val="333333"/>
          <w:sz w:val="19"/>
        </w:rPr>
        <w:t xml:space="preserve"> </w:t>
      </w:r>
      <w:r>
        <w:rPr>
          <w:rFonts w:ascii="Consolas" w:hAnsi="Consolas"/>
          <w:color w:val="333333"/>
          <w:sz w:val="19"/>
        </w:rPr>
      </w:r>
    </w:p>
    <w:p>
      <w:pPr>
        <w:spacing w:after="120"/>
      </w:pPr>
      <w:r>
        <w:rPr>
          <w:b/>
        </w:rPr>
        <w:t>D.3 — case03</w:t>
      </w:r>
    </w:p>
    <w:p>
      <w:pPr>
        <w:spacing w:after="120"/>
      </w:pPr>
      <w:r>
        <w:rPr>
          <w:rFonts w:ascii="Consolas" w:hAnsi="Consolas"/>
          <w:color w:val="333333"/>
          <w:sz w:val="19"/>
        </w:rPr>
      </w:r>
      <w:r>
        <w:rPr>
          <w:rFonts w:ascii="Consolas" w:hAnsi="Consolas"/>
          <w:color w:val="333333"/>
          <w:sz w:val="19"/>
        </w:rPr>
        <w:t xml:space="preserve"> </w:t>
      </w:r>
      <w:r>
        <w:rPr>
          <w:rFonts w:ascii="Consolas" w:hAnsi="Consolas"/>
          <w:color w:val="333333"/>
          <w:sz w:val="19"/>
        </w:rPr>
      </w:r>
    </w:p>
    <w:p>
      <w:pPr>
        <w:spacing w:after="120"/>
      </w:pPr>
      <w:r>
        <w:rPr>
          <w:b/>
        </w:rPr>
        <w:t>D.4 — case04.</w:t>
      </w:r>
      <w:r>
        <w:t xml:space="preserve"> This one passes SPF, DKIM </w:t>
      </w:r>
      <w:r>
        <w:rPr>
          <w:b/>
        </w:rPr>
        <w:t>and</w:t>
      </w:r>
      <w:r>
        <w:t xml:space="preserve"> DMARC, it is not F1, and it is not legitimate. Explain why every check passing tells you nothing useful here. Your answer should name </w:t>
      </w:r>
      <w:r>
        <w:rPr>
          <w:b/>
        </w:rPr>
        <w:t>which domain</w:t>
      </w:r>
      <w:r>
        <w:t xml:space="preserve"> the checks passed for.</w:t>
      </w:r>
    </w:p>
    <w:p>
      <w:pPr>
        <w:spacing w:after="120"/>
      </w:pPr>
      <w:r>
        <w:rPr>
          <w:rFonts w:ascii="Consolas" w:hAnsi="Consolas"/>
          <w:color w:val="333333"/>
          <w:sz w:val="19"/>
        </w:rPr>
      </w:r>
      <w:r>
        <w:rPr>
          <w:rFonts w:ascii="Consolas" w:hAnsi="Consolas"/>
          <w:color w:val="333333"/>
          <w:sz w:val="19"/>
        </w:rPr>
        <w:t xml:space="preserve"> </w:t>
      </w:r>
      <w:r>
        <w:rPr>
          <w:rFonts w:ascii="Consolas" w:hAnsi="Consolas"/>
          <w:color w:val="333333"/>
          <w:sz w:val="19"/>
        </w:rPr>
      </w:r>
    </w:p>
    <w:p>
      <w:pPr>
        <w:spacing w:after="120"/>
      </w:pPr>
      <w:r>
        <w:rPr>
          <w:b/>
        </w:rPr>
        <w:t>D.5 — case05.</w:t>
      </w:r>
      <w:r>
        <w:t xml:space="preserve"> This is F5. Justify </w:t>
      </w:r>
      <w:r>
        <w:rPr>
          <w:b/>
        </w:rPr>
        <w:t>clearing</w:t>
      </w:r>
      <w:r>
        <w:t xml:space="preserve"> it with specific evidence — not "nothing looked wrong." What did you check, and what did it show?</w:t>
      </w:r>
    </w:p>
    <w:p>
      <w:pPr>
        <w:spacing w:after="120"/>
      </w:pPr>
      <w:r>
        <w:rPr>
          <w:rFonts w:ascii="Consolas" w:hAnsi="Consolas"/>
          <w:color w:val="333333"/>
          <w:sz w:val="19"/>
        </w:rPr>
      </w:r>
      <w:r>
        <w:rPr>
          <w:rFonts w:ascii="Consolas" w:hAnsi="Consolas"/>
          <w:color w:val="333333"/>
          <w:sz w:val="19"/>
        </w:rPr>
        <w:t xml:space="preserve"> </w:t>
      </w:r>
      <w:r>
        <w:rPr>
          <w:rFonts w:ascii="Consolas" w:hAnsi="Consolas"/>
          <w:color w:val="333333"/>
          <w:sz w:val="19"/>
        </w:rPr>
      </w:r>
    </w:p>
    <w:p>
      <w:pPr>
        <w:spacing w:after="120"/>
      </w:pPr>
      <w:r>
        <w:rPr>
          <w:b/>
        </w:rPr>
        <w:t>D.6</w:t>
      </w:r>
      <w:r>
        <w:t xml:space="preserve"> Two of these messages claim the same sender and both pass every authentication check. Quote the </w:t>
      </w:r>
      <w:r>
        <w:rPr>
          <w:b/>
        </w:rPr>
        <w:t>one line from each</w:t>
      </w:r>
      <w:r>
        <w:t xml:space="preserve"> that separates them, and say what the difference means.</w:t>
      </w:r>
    </w:p>
    <w:p>
      <w:pPr>
        <w:spacing w:after="120"/>
      </w:pPr>
      <w:r>
        <w:rPr>
          <w:rFonts w:ascii="Consolas" w:hAnsi="Consolas"/>
          <w:color w:val="333333"/>
          <w:sz w:val="19"/>
        </w:rPr>
      </w:r>
      <w:r>
        <w:rPr>
          <w:rFonts w:ascii="Consolas" w:hAnsi="Consolas"/>
          <w:color w:val="333333"/>
          <w:sz w:val="19"/>
        </w:rPr>
        <w:t xml:space="preserve"> case05: case02: Difference: </w:t>
      </w:r>
      <w:r>
        <w:rPr>
          <w:rFonts w:ascii="Consolas" w:hAnsi="Consolas"/>
          <w:color w:val="333333"/>
          <w:sz w:val="19"/>
        </w:rPr>
      </w:r>
    </w:p>
    <w:p>
      <w:pPr>
        <w:spacing w:before="40" w:after="120"/>
        <w:pBdr>
          <w:bottom w:val="single" w:sz="6" w:color="BBBBBB"/>
        </w:pBdr>
      </w:pPr>
    </w:p>
    <w:p>
      <w:pPr>
        <w:pStyle w:val="Heading1"/>
      </w:pPr>
      <w:r>
        <w:t xml:space="preserve">E. ATT&amp;CK mapping </w:t>
      </w:r>
      <w:r>
        <w:rPr>
          <w:i/>
        </w:rPr>
        <w:t>(graded)</w:t>
      </w:r>
    </w:p>
    <w:p>
      <w:pPr>
        <w:spacing w:after="120"/>
      </w:pPr>
      <w:r>
        <w:t xml:space="preserve">For each message you judged malicious. Look the technique up yourself at </w:t>
      </w:r>
      <w:r>
        <w:rPr>
          <w:b/>
        </w:rPr>
        <w:t>attack.mitre.org</w:t>
      </w:r>
      <w:r>
        <w:t xml:space="preserve"> — do not copy from the lecture slides. More than one mapping can be defensible; the one-line reason is what's being read.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</w:r>
            <w:r>
              <w:rPr>
                <w:b/>
              </w:rPr>
              <w:t>Message</w:t>
            </w:r>
          </w:p>
        </w:tc>
        <w:tc>
          <w:tcPr>
            <w:tcW w:type="dxa" w:w="2484"/>
          </w:tcPr>
          <w:p>
            <w:r>
              <w:rPr>
                <w:b/>
              </w:rPr>
            </w:r>
            <w:r>
              <w:rPr>
                <w:b/>
              </w:rPr>
              <w:t>Tactic</w:t>
            </w:r>
          </w:p>
        </w:tc>
        <w:tc>
          <w:tcPr>
            <w:tcW w:type="dxa" w:w="2484"/>
          </w:tcPr>
          <w:p>
            <w:r>
              <w:rPr>
                <w:b/>
              </w:rPr>
            </w:r>
            <w:r>
              <w:rPr>
                <w:b/>
              </w:rPr>
              <w:t>Technique (name + ID)</w:t>
            </w:r>
          </w:p>
        </w:tc>
        <w:tc>
          <w:tcPr>
            <w:tcW w:type="dxa" w:w="2484"/>
          </w:tcPr>
          <w:p>
            <w:r>
              <w:rPr>
                <w:b/>
              </w:rPr>
            </w:r>
            <w:r>
              <w:rPr>
                <w:b/>
              </w:rPr>
              <w:t>Why this one, in one line</w:t>
            </w:r>
          </w:p>
        </w:tc>
      </w:tr>
      <w:tr>
        <w:trPr>
          <w:trHeight w:val="520"/>
        </w:trPr>
        <w:tc>
          <w:tcPr>
            <w:tcW w:type="dxa" w:w="2484"/>
          </w:tcPr>
          <w:p>
            <w:r/>
            <w:r>
              <w:t>case01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rPr>
          <w:trHeight w:val="520"/>
        </w:trPr>
        <w:tc>
          <w:tcPr>
            <w:tcW w:type="dxa" w:w="2484"/>
          </w:tcPr>
          <w:p>
            <w:r/>
            <w:r>
              <w:t>case02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rPr>
          <w:trHeight w:val="520"/>
        </w:trPr>
        <w:tc>
          <w:tcPr>
            <w:tcW w:type="dxa" w:w="2484"/>
          </w:tcPr>
          <w:p>
            <w:r/>
            <w:r>
              <w:t>case03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rPr>
          <w:trHeight w:val="520"/>
        </w:trPr>
        <w:tc>
          <w:tcPr>
            <w:tcW w:type="dxa" w:w="2484"/>
          </w:tcPr>
          <w:p>
            <w:r/>
            <w:r>
              <w:t>case04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</w:tbl>
    <w:p/>
    <w:p>
      <w:pPr>
        <w:spacing w:after="120"/>
      </w:pPr>
      <w:r>
        <w:rPr>
          <w:b/>
        </w:rPr>
        <w:t>E.1</w:t>
      </w:r>
      <w:r>
        <w:t xml:space="preserve"> All four sit in the same tactic. Name it, and say in one sentence why the </w:t>
      </w:r>
      <w:r>
        <w:rPr>
          <w:i/>
        </w:rPr>
        <w:t>tactic</w:t>
      </w:r>
      <w:r>
        <w:t xml:space="preserve"> is the same when the </w:t>
      </w:r>
      <w:r>
        <w:rPr>
          <w:i/>
        </w:rPr>
        <w:t>mechanisms</w:t>
      </w:r>
      <w:r>
        <w:t xml:space="preserve"> are so different.</w:t>
      </w:r>
    </w:p>
    <w:p>
      <w:pPr>
        <w:spacing w:after="120"/>
      </w:pPr>
      <w:r>
        <w:rPr>
          <w:rFonts w:ascii="Consolas" w:hAnsi="Consolas"/>
          <w:color w:val="333333"/>
          <w:sz w:val="19"/>
        </w:rPr>
      </w:r>
      <w:r>
        <w:rPr>
          <w:rFonts w:ascii="Consolas" w:hAnsi="Consolas"/>
          <w:color w:val="333333"/>
          <w:sz w:val="19"/>
        </w:rPr>
        <w:t xml:space="preserve"> </w:t>
      </w:r>
      <w:r>
        <w:rPr>
          <w:rFonts w:ascii="Consolas" w:hAnsi="Consolas"/>
          <w:color w:val="333333"/>
          <w:sz w:val="19"/>
        </w:rPr>
      </w:r>
    </w:p>
    <w:p>
      <w:pPr>
        <w:spacing w:after="120"/>
      </w:pPr>
      <w:r>
        <w:rPr>
          <w:b/>
        </w:rPr>
        <w:t>E.2</w:t>
      </w:r>
      <w:r>
        <w:t xml:space="preserve"> You were told not to rank these by severity. Why can't you — what is it about ATT&amp;CK that makes the request impossible to satisfy?</w:t>
      </w:r>
    </w:p>
    <w:p>
      <w:pPr>
        <w:spacing w:after="120"/>
      </w:pPr>
      <w:r>
        <w:rPr>
          <w:rFonts w:ascii="Consolas" w:hAnsi="Consolas"/>
          <w:color w:val="333333"/>
          <w:sz w:val="19"/>
        </w:rPr>
      </w:r>
      <w:r>
        <w:rPr>
          <w:rFonts w:ascii="Consolas" w:hAnsi="Consolas"/>
          <w:color w:val="333333"/>
          <w:sz w:val="19"/>
        </w:rPr>
        <w:t xml:space="preserve"> </w:t>
      </w:r>
      <w:r>
        <w:rPr>
          <w:rFonts w:ascii="Consolas" w:hAnsi="Consolas"/>
          <w:color w:val="333333"/>
          <w:sz w:val="19"/>
        </w:rPr>
      </w:r>
    </w:p>
    <w:p>
      <w:pPr>
        <w:spacing w:before="40" w:after="120"/>
        <w:pBdr>
          <w:bottom w:val="single" w:sz="6" w:color="BBBBBB"/>
        </w:pBdr>
      </w:pPr>
    </w:p>
    <w:p>
      <w:pPr>
        <w:pStyle w:val="Heading1"/>
      </w:pPr>
      <w:r>
        <w:t xml:space="preserve">F. Limits — what header analysis does </w:t>
      </w:r>
      <w:r>
        <w:rPr>
          <w:b/>
        </w:rPr>
        <w:t>NOT</w:t>
      </w:r>
      <w:r>
        <w:t xml:space="preserve"> tell you </w:t>
      </w:r>
      <w:r>
        <w:rPr>
          <w:i/>
        </w:rPr>
        <w:t>(graded)</w:t>
      </w:r>
    </w:p>
    <w:p>
      <w:pPr>
        <w:spacing w:after="120"/>
      </w:pPr>
      <w:r>
        <w:t xml:space="preserve">Every technique has an edge. Name </w:t>
      </w:r>
      <w:r>
        <w:rPr>
          <w:b/>
        </w:rPr>
        <w:t>three</w:t>
      </w:r>
      <w:r>
        <w:t xml:space="preserve"> things you could </w:t>
      </w:r>
      <w:r>
        <w:rPr>
          <w:b/>
        </w:rPr>
        <w:t>not</w:t>
      </w:r>
      <w:r>
        <w:t xml:space="preserve"> determine about these messages from the evidence available in this lab, even in principle.</w:t>
      </w:r>
    </w:p>
    <w:p>
      <w:pPr>
        <w:spacing w:after="120"/>
      </w:pPr>
      <w:r>
        <w:rPr>
          <w:rFonts w:ascii="Consolas" w:hAnsi="Consolas"/>
          <w:color w:val="333333"/>
          <w:sz w:val="19"/>
        </w:rPr>
      </w:r>
      <w:r>
        <w:rPr>
          <w:rFonts w:ascii="Consolas" w:hAnsi="Consolas"/>
          <w:color w:val="333333"/>
          <w:sz w:val="19"/>
        </w:rPr>
        <w:t xml:space="preserve"> 1. 2. 3. </w:t>
      </w:r>
      <w:r>
        <w:rPr>
          <w:rFonts w:ascii="Consolas" w:hAnsi="Consolas"/>
          <w:color w:val="333333"/>
          <w:sz w:val="19"/>
        </w:rPr>
      </w:r>
    </w:p>
    <w:p>
      <w:pPr>
        <w:spacing w:after="120"/>
      </w:pPr>
      <w:r>
        <w:rPr>
          <w:b/>
        </w:rPr>
        <w:t>F.1</w:t>
      </w:r>
      <w:r>
        <w:t xml:space="preserve"> You cleared case05 on header evidence. Describe one scenario in which that verdict would be </w:t>
      </w:r>
      <w:r>
        <w:rPr>
          <w:b/>
        </w:rPr>
        <w:t>wrong</w:t>
      </w:r>
      <w:r>
        <w:t xml:space="preserve"> anyway — i.e. the headers look exactly like this and the message is still hostile.</w:t>
      </w:r>
    </w:p>
    <w:p>
      <w:pPr>
        <w:spacing w:after="120"/>
      </w:pPr>
      <w:r>
        <w:rPr>
          <w:rFonts w:ascii="Consolas" w:hAnsi="Consolas"/>
          <w:color w:val="333333"/>
          <w:sz w:val="19"/>
        </w:rPr>
      </w:r>
      <w:r>
        <w:rPr>
          <w:rFonts w:ascii="Consolas" w:hAnsi="Consolas"/>
          <w:color w:val="333333"/>
          <w:sz w:val="19"/>
        </w:rPr>
        <w:t xml:space="preserve"> </w:t>
      </w:r>
      <w:r>
        <w:rPr>
          <w:rFonts w:ascii="Consolas" w:hAnsi="Consolas"/>
          <w:color w:val="333333"/>
          <w:sz w:val="19"/>
        </w:rPr>
      </w:r>
    </w:p>
    <w:p>
      <w:pPr>
        <w:spacing w:after="120"/>
      </w:pPr>
      <w:r>
        <w:rPr>
          <w:b/>
        </w:rPr>
        <w:t>F.2</w:t>
      </w:r>
      <w:r>
        <w:t xml:space="preserve"> Suppose you had been handed only </w:t>
      </w:r>
      <w:r>
        <w:rPr>
          <w:b/>
        </w:rPr>
        <w:t>case02</w:t>
      </w:r>
      <w:r>
        <w:t>, with no case05 to compare it against. Could you still have reached the same verdict? What would you have had to do instead?</w:t>
      </w:r>
    </w:p>
    <w:p>
      <w:pPr>
        <w:spacing w:after="120"/>
      </w:pPr>
      <w:r>
        <w:rPr>
          <w:rFonts w:ascii="Consolas" w:hAnsi="Consolas"/>
          <w:color w:val="333333"/>
          <w:sz w:val="19"/>
        </w:rPr>
      </w:r>
      <w:r>
        <w:rPr>
          <w:rFonts w:ascii="Consolas" w:hAnsi="Consolas"/>
          <w:color w:val="333333"/>
          <w:sz w:val="19"/>
        </w:rPr>
        <w:t xml:space="preserve"> </w:t>
      </w:r>
      <w:r>
        <w:rPr>
          <w:rFonts w:ascii="Consolas" w:hAnsi="Consolas"/>
          <w:color w:val="333333"/>
          <w:sz w:val="19"/>
        </w:rPr>
      </w:r>
    </w:p>
    <w:p>
      <w:pPr>
        <w:spacing w:before="40" w:after="120"/>
        <w:pBdr>
          <w:bottom w:val="single" w:sz="6" w:color="BBBBBB"/>
        </w:pBdr>
      </w:pPr>
    </w:p>
    <w:p>
      <w:pPr>
        <w:pStyle w:val="Heading1"/>
      </w:pPr>
      <w:r>
        <w:t>G. How this feeds the security program</w:t>
      </w:r>
    </w:p>
    <w:p>
      <w:pPr>
        <w:spacing w:after="120"/>
      </w:pPr>
      <w:r>
        <w:t xml:space="preserve">Nothing from this lab goes on your risk register or into your threat profile as a </w:t>
      </w:r>
      <w:r>
        <w:rPr>
          <w:b/>
        </w:rPr>
        <w:t>fact</w:t>
      </w:r>
      <w:r>
        <w:t xml:space="preserve"> — these messages are from a different, fictional company, and </w:t>
      </w:r>
      <w:r>
        <w:rPr>
          <w:rFonts w:ascii="Consolas" w:hAnsi="Consolas"/>
          <w:color w:val="333333"/>
          <w:sz w:val="19"/>
        </w:rPr>
        <w:t>arborridge.example</w:t>
      </w:r>
      <w:r>
        <w:t xml:space="preserve">, </w:t>
      </w:r>
      <w:r>
        <w:rPr>
          <w:rFonts w:ascii="Consolas" w:hAnsi="Consolas"/>
          <w:color w:val="333333"/>
          <w:sz w:val="19"/>
        </w:rPr>
        <w:t>case02.eml</w:t>
      </w:r>
      <w:r>
        <w:t xml:space="preserve"> and that SHA-256 digest have no place in a document about your employer. What transfers is the </w:t>
      </w:r>
      <w:r>
        <w:rPr>
          <w:b/>
        </w:rPr>
        <w:t>method</w:t>
      </w:r>
      <w:r>
        <w:t xml:space="preserve"> and the </w:t>
      </w:r>
      <w:r>
        <w:rPr>
          <w:b/>
        </w:rPr>
        <w:t>classes of finding</w:t>
      </w:r>
      <w:r>
        <w:t>: a sender that isn't who it displays as, a check that passes and proves less than it appears to, and a judgment call about what not to escalate.</w:t>
      </w:r>
    </w:p>
    <w:p>
      <w:pPr>
        <w:spacing w:after="120"/>
      </w:pPr>
      <w:r>
        <w:t xml:space="preserve">Where it belongs is </w:t>
      </w:r>
      <w:r>
        <w:rPr>
          <w:b/>
        </w:rPr>
        <w:t>§4 of the program report</w:t>
      </w:r>
      <w:r>
        <w:t xml:space="preserve">, as part of the threat profile you're writing this week — specifically the </w:t>
      </w:r>
      <w:r>
        <w:rPr>
          <w:i/>
        </w:rPr>
        <w:t>"would it work here, and would we know"</w:t>
      </w:r>
      <w:r>
        <w:t xml:space="preserve"> columns.</w:t>
      </w:r>
    </w:p>
    <w:p>
      <w:pPr>
        <w:spacing w:after="120"/>
      </w:pPr>
      <w:r>
        <w:rPr>
          <w:b/>
        </w:rPr>
        <w:t>G.1</w:t>
      </w:r>
      <w:r>
        <w:t xml:space="preserve"> Name </w:t>
      </w:r>
      <w:r>
        <w:rPr>
          <w:b/>
        </w:rPr>
        <w:t>one</w:t>
      </w:r>
      <w:r>
        <w:t xml:space="preserve"> thing you would need to know about </w:t>
      </w:r>
      <w:r>
        <w:rPr>
          <w:b/>
        </w:rPr>
        <w:t>your own company</w:t>
      </w:r>
      <w:r>
        <w:t xml:space="preserve"> before you could say whether a message like case02 would have worked there — and name the questionnaire item (or packet section) that would tell you.</w:t>
      </w:r>
    </w:p>
    <w:p>
      <w:pPr>
        <w:spacing w:after="120"/>
      </w:pPr>
      <w:r>
        <w:rPr>
          <w:rFonts w:ascii="Consolas" w:hAnsi="Consolas"/>
          <w:color w:val="333333"/>
          <w:sz w:val="19"/>
        </w:rPr>
      </w:r>
      <w:r>
        <w:rPr>
          <w:rFonts w:ascii="Consolas" w:hAnsi="Consolas"/>
          <w:color w:val="333333"/>
          <w:sz w:val="19"/>
        </w:rPr>
        <w:t xml:space="preserve"> </w:t>
      </w:r>
      <w:r>
        <w:rPr>
          <w:rFonts w:ascii="Consolas" w:hAnsi="Consolas"/>
          <w:color w:val="333333"/>
          <w:sz w:val="19"/>
        </w:rPr>
      </w:r>
    </w:p>
    <w:p>
      <w:pPr>
        <w:spacing w:after="120"/>
      </w:pPr>
      <w:r>
        <w:rPr>
          <w:b/>
        </w:rPr>
        <w:t>G.2</w:t>
      </w:r>
      <w:r>
        <w:t xml:space="preserve"> Now the second column. If a message like case02 arrived at your company and somebody clicked the link, </w:t>
      </w:r>
      <w:r>
        <w:rPr>
          <w:b/>
        </w:rPr>
        <w:t>what would have to be true for anyone to find out?</w:t>
      </w:r>
      <w:r>
        <w:t xml:space="preserve"> Name one thing, and whether your company currently has it.</w:t>
      </w:r>
    </w:p>
    <w:p>
      <w:pPr>
        <w:spacing w:after="120"/>
      </w:pPr>
      <w:r>
        <w:rPr>
          <w:rFonts w:ascii="Consolas" w:hAnsi="Consolas"/>
          <w:color w:val="333333"/>
          <w:sz w:val="19"/>
        </w:rPr>
      </w:r>
      <w:r>
        <w:rPr>
          <w:rFonts w:ascii="Consolas" w:hAnsi="Consolas"/>
          <w:color w:val="333333"/>
          <w:sz w:val="19"/>
        </w:rPr>
        <w:t xml:space="preserve"> </w:t>
      </w:r>
      <w:r>
        <w:rPr>
          <w:rFonts w:ascii="Consolas" w:hAnsi="Consolas"/>
          <w:color w:val="333333"/>
          <w:sz w:val="19"/>
        </w:rPr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