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рыночная-стоимость-выполненных-работ"/>
    <w:p>
      <w:pPr>
        <w:pStyle w:val="Heading1"/>
      </w:pPr>
      <w:r>
        <w:t xml:space="preserve">Рыночная стоимость выполненных работ</w:t>
      </w:r>
    </w:p>
    <w:p>
      <w:pPr>
        <w:pStyle w:val="BlockText"/>
      </w:pPr>
      <w:r>
        <w:t xml:space="preserve">Данный документ составлен на основе анализа рынка маркетинговых и digital-услуг в России (2025–2026).</w:t>
      </w:r>
      <w:r>
        <w:t xml:space="preserve"> </w:t>
      </w:r>
      <w:r>
        <w:t xml:space="preserve">Цель — показать реальную рыночную стоимость проделанной работы.</w:t>
      </w:r>
    </w:p>
    <w:p>
      <w:r>
        <w:pict>
          <v:rect style="width:0;height:1.5pt" o:hralign="center" o:hrstd="t" o:hr="t"/>
        </w:pict>
      </w:r>
    </w:p>
    <w:bookmarkStart w:id="14" w:name="что-было-сделано-в-рамках-проекта"/>
    <w:p>
      <w:pPr>
        <w:pStyle w:val="Heading2"/>
      </w:pPr>
      <w:r>
        <w:t xml:space="preserve">Что было сделано в рамках проекта</w:t>
      </w:r>
    </w:p>
    <w:bookmarkStart w:id="9" w:name="маркетинговое-исследование-6-документов"/>
    <w:p>
      <w:pPr>
        <w:pStyle w:val="Heading3"/>
      </w:pPr>
      <w:r>
        <w:t xml:space="preserve">Маркетинговое исследование (6 документов)</w:t>
      </w:r>
    </w:p>
    <w:p>
      <w:pPr>
        <w:pStyle w:val="Compact"/>
        <w:numPr>
          <w:ilvl w:val="0"/>
          <w:numId w:val="1001"/>
        </w:numPr>
      </w:pPr>
      <w:r>
        <w:t xml:space="preserve">Обзор рынка подшипников в России (объём, динамика, тренды)</w:t>
      </w:r>
    </w:p>
    <w:p>
      <w:pPr>
        <w:pStyle w:val="Compact"/>
        <w:numPr>
          <w:ilvl w:val="0"/>
          <w:numId w:val="1001"/>
        </w:numPr>
      </w:pPr>
      <w:r>
        <w:t xml:space="preserve">Анализ конкурентов (российские производители, дистрибьюторы, SWOT)</w:t>
      </w:r>
    </w:p>
    <w:p>
      <w:pPr>
        <w:pStyle w:val="Compact"/>
        <w:numPr>
          <w:ilvl w:val="0"/>
          <w:numId w:val="1001"/>
        </w:numPr>
      </w:pPr>
      <w:r>
        <w:t xml:space="preserve">Анализ китайских брендов (ZWZ, HRB, LYC, C&amp;U — позиционирование, сертификация)</w:t>
      </w:r>
    </w:p>
    <w:p>
      <w:pPr>
        <w:pStyle w:val="Compact"/>
        <w:numPr>
          <w:ilvl w:val="0"/>
          <w:numId w:val="1001"/>
        </w:numPr>
      </w:pPr>
      <w:r>
        <w:t xml:space="preserve">Логистика и импорт (ТН ВЭД коды, антидемпинговые пошлины, расчёт себестоимости)</w:t>
      </w:r>
    </w:p>
    <w:p>
      <w:pPr>
        <w:pStyle w:val="Compact"/>
        <w:numPr>
          <w:ilvl w:val="0"/>
          <w:numId w:val="1001"/>
        </w:numPr>
      </w:pPr>
      <w:r>
        <w:t xml:space="preserve">Сертификация ЕАЭС (ТР ТС регламенты, маркировка EAC, стоимость)</w:t>
      </w:r>
    </w:p>
    <w:p>
      <w:pPr>
        <w:pStyle w:val="Compact"/>
        <w:numPr>
          <w:ilvl w:val="0"/>
          <w:numId w:val="1001"/>
        </w:numPr>
      </w:pPr>
      <w:r>
        <w:t xml:space="preserve">Целевая аудитория (B2B-сегменты: заводы, автосервисы, дилеры; B2C: автовладельцы, механики)</w:t>
      </w:r>
    </w:p>
    <w:bookmarkEnd w:id="9"/>
    <w:bookmarkStart w:id="10" w:name="маркетинговая-стратегия-7-документов"/>
    <w:p>
      <w:pPr>
        <w:pStyle w:val="Heading3"/>
      </w:pPr>
      <w:r>
        <w:t xml:space="preserve">Маркетинговая стратегия (7 документов)</w:t>
      </w:r>
    </w:p>
    <w:p>
      <w:pPr>
        <w:pStyle w:val="Compact"/>
        <w:numPr>
          <w:ilvl w:val="0"/>
          <w:numId w:val="1002"/>
        </w:numPr>
      </w:pPr>
      <w:r>
        <w:t xml:space="preserve">Общая маркетинговая стратегия (позиционирование, УТП, цели на 3 года, 4P, KPI)</w:t>
      </w:r>
    </w:p>
    <w:p>
      <w:pPr>
        <w:pStyle w:val="Compact"/>
        <w:numPr>
          <w:ilvl w:val="0"/>
          <w:numId w:val="1002"/>
        </w:numPr>
      </w:pPr>
      <w:r>
        <w:t xml:space="preserve">Каналы продаж (Ozon, Wildberries, прямые B2B, Avito — с долями)</w:t>
      </w:r>
    </w:p>
    <w:p>
      <w:pPr>
        <w:pStyle w:val="Compact"/>
        <w:numPr>
          <w:ilvl w:val="0"/>
          <w:numId w:val="1002"/>
        </w:numPr>
      </w:pPr>
      <w:r>
        <w:t xml:space="preserve">Ценовая стратегия (на 30–50% ниже европейских, расчёт маржинальности)</w:t>
      </w:r>
    </w:p>
    <w:p>
      <w:pPr>
        <w:pStyle w:val="Compact"/>
        <w:numPr>
          <w:ilvl w:val="0"/>
          <w:numId w:val="1002"/>
        </w:numPr>
      </w:pPr>
      <w:r>
        <w:t xml:space="preserve">Digital-маркетинг (бюджет 100 000 ₽/мес, Яндекс.Директ, маркетплейсы, Telegram)</w:t>
      </w:r>
    </w:p>
    <w:p>
      <w:pPr>
        <w:pStyle w:val="Compact"/>
        <w:numPr>
          <w:ilvl w:val="0"/>
          <w:numId w:val="1002"/>
        </w:numPr>
      </w:pPr>
      <w:r>
        <w:t xml:space="preserve">B2B-стратегия (воронка, лидогенерация, ABM, CRM на Битрикс24)</w:t>
      </w:r>
    </w:p>
    <w:p>
      <w:pPr>
        <w:pStyle w:val="Compact"/>
        <w:numPr>
          <w:ilvl w:val="0"/>
          <w:numId w:val="1002"/>
        </w:numPr>
      </w:pPr>
      <w:r>
        <w:t xml:space="preserve">B2C-стратегия (маркетплейсы, оптимизация карточек, отзывы, Avito)</w:t>
      </w:r>
    </w:p>
    <w:p>
      <w:pPr>
        <w:pStyle w:val="Compact"/>
        <w:numPr>
          <w:ilvl w:val="0"/>
          <w:numId w:val="1002"/>
        </w:numPr>
      </w:pPr>
      <w:r>
        <w:t xml:space="preserve">Бюджетный план (стартовые 2,5–3,2 млн ₽ на 6 месяцев, точка безубыточности)</w:t>
      </w:r>
    </w:p>
    <w:bookmarkEnd w:id="10"/>
    <w:bookmarkStart w:id="11" w:name="дорожная-карта-запуска"/>
    <w:p>
      <w:pPr>
        <w:pStyle w:val="Heading3"/>
      </w:pPr>
      <w:r>
        <w:t xml:space="preserve">Дорожная карта запуска</w:t>
      </w:r>
    </w:p>
    <w:p>
      <w:pPr>
        <w:pStyle w:val="Compact"/>
        <w:numPr>
          <w:ilvl w:val="0"/>
          <w:numId w:val="1003"/>
        </w:numPr>
      </w:pPr>
      <w:r>
        <w:t xml:space="preserve">Пошаговый план на 6 месяцев с ежемесячными чек-листами и milestones</w:t>
      </w:r>
    </w:p>
    <w:bookmarkEnd w:id="11"/>
    <w:bookmarkStart w:id="12" w:name="демо-сайт-htmlcssjs-2-477-строк-кода"/>
    <w:p>
      <w:pPr>
        <w:pStyle w:val="Heading3"/>
      </w:pPr>
      <w:r>
        <w:t xml:space="preserve">Демо-сайт (HTML/CSS/JS — 2 477 строк кода)</w:t>
      </w:r>
    </w:p>
    <w:p>
      <w:pPr>
        <w:pStyle w:val="Compact"/>
        <w:numPr>
          <w:ilvl w:val="0"/>
          <w:numId w:val="1004"/>
        </w:numPr>
      </w:pPr>
      <w:r>
        <w:t xml:space="preserve">12 полноценных секций с уникальным дизайном</w:t>
      </w:r>
    </w:p>
    <w:p>
      <w:pPr>
        <w:pStyle w:val="Compact"/>
        <w:numPr>
          <w:ilvl w:val="0"/>
          <w:numId w:val="1004"/>
        </w:numPr>
      </w:pPr>
      <w:r>
        <w:t xml:space="preserve">Mobile-first адаптация (iOS Safari + Android Chrome)</w:t>
      </w:r>
    </w:p>
    <w:p>
      <w:pPr>
        <w:pStyle w:val="Compact"/>
        <w:numPr>
          <w:ilvl w:val="0"/>
          <w:numId w:val="1004"/>
        </w:numPr>
      </w:pPr>
      <w:r>
        <w:t xml:space="preserve">CSS-анимации (scroll reveal, счётчики, hover-эффекты)</w:t>
      </w:r>
    </w:p>
    <w:p>
      <w:pPr>
        <w:pStyle w:val="Compact"/>
        <w:numPr>
          <w:ilvl w:val="0"/>
          <w:numId w:val="1004"/>
        </w:numPr>
      </w:pPr>
      <w:r>
        <w:t xml:space="preserve">Интерактивный каталог с фильтрацией по типам подшипников</w:t>
      </w:r>
    </w:p>
    <w:p>
      <w:pPr>
        <w:pStyle w:val="Compact"/>
        <w:numPr>
          <w:ilvl w:val="0"/>
          <w:numId w:val="1004"/>
        </w:numPr>
      </w:pPr>
      <w:r>
        <w:t xml:space="preserve">Калькулятор экономии с визуальным сравнением</w:t>
      </w:r>
    </w:p>
    <w:p>
      <w:pPr>
        <w:pStyle w:val="Compact"/>
        <w:numPr>
          <w:ilvl w:val="0"/>
          <w:numId w:val="1004"/>
        </w:numPr>
      </w:pPr>
      <w:r>
        <w:t xml:space="preserve">FAQ-аккордеон, форма обратной связи, карусель отзывов</w:t>
      </w:r>
    </w:p>
    <w:p>
      <w:pPr>
        <w:pStyle w:val="Compact"/>
        <w:numPr>
          <w:ilvl w:val="0"/>
          <w:numId w:val="1004"/>
        </w:numPr>
      </w:pPr>
      <w:r>
        <w:t xml:space="preserve">CSS-иллюстрации подшипников (без внешних изображений)</w:t>
      </w:r>
    </w:p>
    <w:p>
      <w:pPr>
        <w:pStyle w:val="Compact"/>
        <w:numPr>
          <w:ilvl w:val="0"/>
          <w:numId w:val="1004"/>
        </w:numPr>
      </w:pPr>
      <w:r>
        <w:t xml:space="preserve">Продуманная дизайн-система (палитра, типографика, компоненты)</w:t>
      </w:r>
    </w:p>
    <w:bookmarkEnd w:id="12"/>
    <w:bookmarkStart w:id="13" w:name="документация-для-клиента"/>
    <w:p>
      <w:pPr>
        <w:pStyle w:val="Heading3"/>
      </w:pPr>
      <w:r>
        <w:t xml:space="preserve">Документация для клиента</w:t>
      </w:r>
    </w:p>
    <w:p>
      <w:pPr>
        <w:pStyle w:val="Compact"/>
        <w:numPr>
          <w:ilvl w:val="0"/>
          <w:numId w:val="1005"/>
        </w:numPr>
      </w:pPr>
      <w:r>
        <w:t xml:space="preserve">16 файлов в формате .docx с русскими названиями</w:t>
      </w:r>
    </w:p>
    <w:p>
      <w:pPr>
        <w:pStyle w:val="Compact"/>
        <w:numPr>
          <w:ilvl w:val="0"/>
          <w:numId w:val="1005"/>
        </w:numPr>
      </w:pPr>
      <w:r>
        <w:t xml:space="preserve">Структурированные папки (Исследование / Стратегия / Дорожная карта)</w:t>
      </w:r>
    </w:p>
    <w:p>
      <w:pPr>
        <w:pStyle w:val="Compact"/>
        <w:numPr>
          <w:ilvl w:val="0"/>
          <w:numId w:val="1005"/>
        </w:numPr>
      </w:pPr>
      <w:r>
        <w:t xml:space="preserve">Краткое содержание на простом языке для нетехнического читателя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рыночные-цены-в-россии"/>
    <w:p>
      <w:pPr>
        <w:pStyle w:val="Heading2"/>
      </w:pPr>
      <w:r>
        <w:t xml:space="preserve">Рыночные цены в России</w:t>
      </w:r>
    </w:p>
    <w:bookmarkStart w:id="15" w:name="маркетинговое-исследование"/>
    <w:p>
      <w:pPr>
        <w:pStyle w:val="Heading3"/>
      </w:pPr>
      <w:r>
        <w:t xml:space="preserve">Маркетинговое исследование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</w:pPr>
            <w:r>
              <w:t xml:space="preserve">Что обычно входит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Фрилансер (начинающий)</w:t>
            </w:r>
          </w:p>
        </w:tc>
        <w:tc>
          <w:tcPr/>
          <w:p>
            <w:pPr>
              <w:pStyle w:val="Compact"/>
            </w:pPr>
            <w:r>
              <w:t xml:space="preserve">30 000 – 80 000 ₽</w:t>
            </w:r>
          </w:p>
        </w:tc>
        <w:tc>
          <w:tcPr/>
          <w:p>
            <w:pPr>
              <w:pStyle w:val="Compact"/>
            </w:pPr>
            <w:r>
              <w:t xml:space="preserve">Базовый анализ, 2–3 документа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Фрилансер (опытный)</w:t>
            </w:r>
          </w:p>
        </w:tc>
        <w:tc>
          <w:tcPr/>
          <w:p>
            <w:pPr>
              <w:pStyle w:val="Compact"/>
            </w:pPr>
            <w:r>
              <w:t xml:space="preserve">80 000 – 200 000 ₽</w:t>
            </w:r>
          </w:p>
        </w:tc>
        <w:tc>
          <w:tcPr/>
          <w:p>
            <w:pPr>
              <w:pStyle w:val="Compact"/>
            </w:pPr>
            <w:r>
              <w:t xml:space="preserve">Полный анализ, 5–7 документов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Маркетинговое агентство</w:t>
            </w:r>
          </w:p>
        </w:tc>
        <w:tc>
          <w:tcPr/>
          <w:p>
            <w:pPr>
              <w:pStyle w:val="Compact"/>
            </w:pPr>
            <w:r>
              <w:t xml:space="preserve">200 000 – 500 000 ₽</w:t>
            </w:r>
          </w:p>
        </w:tc>
        <w:tc>
          <w:tcPr/>
          <w:p>
            <w:pPr>
              <w:pStyle w:val="Compact"/>
            </w:pPr>
            <w:r>
              <w:t xml:space="preserve">Комплексное исследование + стратегия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Крупное агентство / консалтинг</w:t>
            </w:r>
          </w:p>
        </w:tc>
        <w:tc>
          <w:tcPr/>
          <w:p>
            <w:pPr>
              <w:pStyle w:val="Compact"/>
            </w:pPr>
            <w:r>
              <w:t xml:space="preserve">500 000 – 2 000 000 ₽</w:t>
            </w:r>
          </w:p>
        </w:tc>
        <w:tc>
          <w:tcPr/>
          <w:p>
            <w:pPr>
              <w:pStyle w:val="Compact"/>
            </w:pPr>
            <w:r>
              <w:t xml:space="preserve">Глубокая аналитика, фокус-группы, бренд</w:t>
            </w:r>
          </w:p>
        </w:tc>
      </w:tr>
    </w:tbl>
    <w:bookmarkEnd w:id="15"/>
    <w:bookmarkStart w:id="16" w:name="разработка-сайта"/>
    <w:p>
      <w:pPr>
        <w:pStyle w:val="Heading3"/>
      </w:pPr>
      <w:r>
        <w:t xml:space="preserve">Разработка сайта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сайта</w:t>
            </w:r>
          </w:p>
        </w:tc>
        <w:tc>
          <w:tcPr/>
          <w:p>
            <w:pPr>
              <w:pStyle w:val="Compact"/>
            </w:pPr>
            <w:r>
              <w:t xml:space="preserve">Фрилансер</w:t>
            </w:r>
          </w:p>
        </w:tc>
        <w:tc>
          <w:tcPr/>
          <w:p>
            <w:pPr>
              <w:pStyle w:val="Compact"/>
            </w:pPr>
            <w:r>
              <w:t xml:space="preserve">Студия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Простой лендинг (1 экран)</w:t>
            </w:r>
          </w:p>
        </w:tc>
        <w:tc>
          <w:tcPr/>
          <w:p>
            <w:pPr>
              <w:pStyle w:val="Compact"/>
            </w:pPr>
            <w:r>
              <w:t xml:space="preserve">5 000 – 15 000 ₽</w:t>
            </w:r>
          </w:p>
        </w:tc>
        <w:tc>
          <w:tcPr/>
          <w:p>
            <w:pPr>
              <w:pStyle w:val="Compact"/>
            </w:pPr>
            <w:r>
              <w:t xml:space="preserve">30 000 – 60 000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Многосекционный лендинг</w:t>
            </w:r>
          </w:p>
        </w:tc>
        <w:tc>
          <w:tcPr/>
          <w:p>
            <w:pPr>
              <w:pStyle w:val="Compact"/>
            </w:pPr>
            <w:r>
              <w:t xml:space="preserve">15 000 – 50 000 ₽</w:t>
            </w:r>
          </w:p>
        </w:tc>
        <w:tc>
          <w:tcPr/>
          <w:p>
            <w:pPr>
              <w:pStyle w:val="Compact"/>
            </w:pPr>
            <w:r>
              <w:t xml:space="preserve">60 000 – 150 000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Корпоративный сайт</w:t>
            </w:r>
          </w:p>
        </w:tc>
        <w:tc>
          <w:tcPr/>
          <w:p>
            <w:pPr>
              <w:pStyle w:val="Compact"/>
            </w:pPr>
            <w:r>
              <w:t xml:space="preserve">50 000 – 150 000 ₽</w:t>
            </w:r>
          </w:p>
        </w:tc>
        <w:tc>
          <w:tcPr/>
          <w:p>
            <w:pPr>
              <w:pStyle w:val="Compact"/>
            </w:pPr>
            <w:r>
              <w:t xml:space="preserve">150 000 – 500 000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Сайт с интерактивом и дизайном</w:t>
            </w:r>
          </w:p>
        </w:tc>
        <w:tc>
          <w:tcPr/>
          <w:p>
            <w:pPr>
              <w:pStyle w:val="Compact"/>
            </w:pPr>
            <w:r>
              <w:t xml:space="preserve">80 000 – 200 000 ₽</w:t>
            </w:r>
          </w:p>
        </w:tc>
        <w:tc>
          <w:tcPr/>
          <w:p>
            <w:pPr>
              <w:pStyle w:val="Compact"/>
            </w:pPr>
            <w:r>
              <w:t xml:space="preserve">200 000 – 600 000 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оценка-стоимости-данного-проекта"/>
    <w:p>
      <w:pPr>
        <w:pStyle w:val="Heading2"/>
      </w:pPr>
      <w:r>
        <w:t xml:space="preserve">Оценка стоимости данного проекта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Услуга</w:t>
            </w:r>
          </w:p>
        </w:tc>
        <w:tc>
          <w:tcPr/>
          <w:p>
            <w:pPr>
              <w:pStyle w:val="Compact"/>
            </w:pPr>
            <w:r>
              <w:t xml:space="preserve">Минимальная оценка</w:t>
            </w:r>
          </w:p>
        </w:tc>
        <w:tc>
          <w:tcPr/>
          <w:p>
            <w:pPr>
              <w:pStyle w:val="Compact"/>
            </w:pPr>
            <w:r>
              <w:t xml:space="preserve">Максимальная оценка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Маркетинговое исследование (6 документов)</w:t>
            </w:r>
          </w:p>
        </w:tc>
        <w:tc>
          <w:tcPr/>
          <w:p>
            <w:pPr>
              <w:pStyle w:val="Compact"/>
            </w:pPr>
            <w:r>
              <w:t xml:space="preserve">120 000 ₽</w:t>
            </w:r>
          </w:p>
        </w:tc>
        <w:tc>
          <w:tcPr/>
          <w:p>
            <w:pPr>
              <w:pStyle w:val="Compact"/>
            </w:pPr>
            <w:r>
              <w:t xml:space="preserve">180 000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Маркетинговая стратегия (7 документов)</w:t>
            </w:r>
          </w:p>
        </w:tc>
        <w:tc>
          <w:tcPr/>
          <w:p>
            <w:pPr>
              <w:pStyle w:val="Compact"/>
            </w:pPr>
            <w:r>
              <w:t xml:space="preserve">150 000 ₽</w:t>
            </w:r>
          </w:p>
        </w:tc>
        <w:tc>
          <w:tcPr/>
          <w:p>
            <w:pPr>
              <w:pStyle w:val="Compact"/>
            </w:pPr>
            <w:r>
              <w:t xml:space="preserve">250 000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Дорожная карта запуска</w:t>
            </w:r>
          </w:p>
        </w:tc>
        <w:tc>
          <w:tcPr/>
          <w:p>
            <w:pPr>
              <w:pStyle w:val="Compact"/>
            </w:pPr>
            <w:r>
              <w:t xml:space="preserve">30 000 ₽</w:t>
            </w:r>
          </w:p>
        </w:tc>
        <w:tc>
          <w:tcPr/>
          <w:p>
            <w:pPr>
              <w:pStyle w:val="Compact"/>
            </w:pPr>
            <w:r>
              <w:t xml:space="preserve">50 000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Демо-сайт с каталогом и калькулятором</w:t>
            </w:r>
          </w:p>
        </w:tc>
        <w:tc>
          <w:tcPr/>
          <w:p>
            <w:pPr>
              <w:pStyle w:val="Compact"/>
            </w:pPr>
            <w:r>
              <w:t xml:space="preserve">120 000 ₽</w:t>
            </w:r>
          </w:p>
        </w:tc>
        <w:tc>
          <w:tcPr/>
          <w:p>
            <w:pPr>
              <w:pStyle w:val="Compact"/>
            </w:pPr>
            <w:r>
              <w:t xml:space="preserve">250 000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Документация (.docx) + краткое содержание</w:t>
            </w:r>
          </w:p>
        </w:tc>
        <w:tc>
          <w:tcPr/>
          <w:p>
            <w:pPr>
              <w:pStyle w:val="Compact"/>
            </w:pPr>
            <w:r>
              <w:t xml:space="preserve">15 000 ₽</w:t>
            </w:r>
          </w:p>
        </w:tc>
        <w:tc>
          <w:tcPr/>
          <w:p>
            <w:pPr>
              <w:pStyle w:val="Compact"/>
            </w:pPr>
            <w:r>
              <w:t xml:space="preserve">30 000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435 000 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760 000 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сравнение-агентство-vs.-наш-проект"/>
    <w:p>
      <w:pPr>
        <w:pStyle w:val="Heading2"/>
      </w:pPr>
      <w:r>
        <w:t xml:space="preserve">Сравнение: агентство vs. наш проект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Типичное агентство</w:t>
            </w:r>
          </w:p>
        </w:tc>
        <w:tc>
          <w:tcPr/>
          <w:p>
            <w:pPr>
              <w:pStyle w:val="Compact"/>
            </w:pPr>
            <w:r>
              <w:t xml:space="preserve">Наш проект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выполнения</w:t>
            </w:r>
          </w:p>
        </w:tc>
        <w:tc>
          <w:tcPr/>
          <w:p>
            <w:pPr>
              <w:pStyle w:val="Compact"/>
            </w:pPr>
            <w:r>
              <w:t xml:space="preserve">3–6 недель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документов</w:t>
            </w:r>
          </w:p>
        </w:tc>
        <w:tc>
          <w:tcPr/>
          <w:p>
            <w:pPr>
              <w:pStyle w:val="Compact"/>
            </w:pPr>
            <w:r>
              <w:t xml:space="preserve">3–7</w:t>
            </w:r>
          </w:p>
        </w:tc>
        <w:tc>
          <w:tcPr/>
          <w:p>
            <w:pPr>
              <w:pStyle w:val="Compact"/>
            </w:pPr>
            <w:r>
              <w:t xml:space="preserve">14 +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 отчётов</w:t>
            </w:r>
          </w:p>
        </w:tc>
        <w:tc>
          <w:tcPr/>
          <w:p>
            <w:pPr>
              <w:pStyle w:val="Compact"/>
            </w:pPr>
            <w:r>
              <w:t xml:space="preserve">PDF / презентация</w:t>
            </w:r>
          </w:p>
        </w:tc>
        <w:tc>
          <w:tcPr/>
          <w:p>
            <w:pPr>
              <w:pStyle w:val="Compact"/>
            </w:pPr>
            <w:r>
              <w:t xml:space="preserve">Markdown + .docx +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Сайт в комплекте</w:t>
            </w:r>
          </w:p>
        </w:tc>
        <w:tc>
          <w:tcPr/>
          <w:p>
            <w:pPr>
              <w:pStyle w:val="Compact"/>
            </w:pPr>
            <w:r>
              <w:t xml:space="preserve">Нет (отдельный заказ)</w:t>
            </w:r>
          </w:p>
        </w:tc>
        <w:tc>
          <w:tcPr/>
          <w:p>
            <w:pPr>
              <w:pStyle w:val="Compact"/>
            </w:pPr>
            <w:r>
              <w:t xml:space="preserve">Да, с 12 секциями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Мобильная адаптация</w:t>
            </w:r>
          </w:p>
        </w:tc>
        <w:tc>
          <w:tcPr/>
          <w:p>
            <w:pPr>
              <w:pStyle w:val="Compact"/>
            </w:pPr>
            <w:r>
              <w:t xml:space="preserve">Доп. стоимость</w:t>
            </w:r>
          </w:p>
        </w:tc>
        <w:tc>
          <w:tcPr/>
          <w:p>
            <w:pPr>
              <w:pStyle w:val="Compact"/>
            </w:pPr>
            <w:r>
              <w:t xml:space="preserve">Включена (mobile-first)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Анимации и интерактив</w:t>
            </w:r>
          </w:p>
        </w:tc>
        <w:tc>
          <w:tcPr/>
          <w:p>
            <w:pPr>
              <w:pStyle w:val="Compact"/>
            </w:pPr>
            <w:r>
              <w:t xml:space="preserve">Доп. стоимость</w:t>
            </w:r>
          </w:p>
        </w:tc>
        <w:tc>
          <w:tcPr/>
          <w:p>
            <w:pPr>
              <w:pStyle w:val="Compact"/>
            </w:pPr>
            <w:r>
              <w:t xml:space="preserve">Включены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Хранение в Git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Да, с историей версий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</w:pPr>
            <w:r>
              <w:t xml:space="preserve">300 000 – 700 000 ₽</w:t>
            </w:r>
          </w:p>
        </w:tc>
        <w:tc>
          <w:tcPr/>
          <w:p>
            <w:pPr>
              <w:pStyle w:val="Compact"/>
            </w:pPr>
            <w:r>
              <w:t xml:space="preserve">Бесплатно, по дружбе 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итого"/>
    <w:p>
      <w:pPr>
        <w:pStyle w:val="Heading2"/>
      </w:pPr>
      <w:r>
        <w:t xml:space="preserve">Итого</w:t>
      </w:r>
    </w:p>
    <w:p>
      <w:pPr>
        <w:pStyle w:val="FirstParagraph"/>
      </w:pPr>
      <w:r>
        <w:rPr>
          <w:b/>
          <w:bCs/>
        </w:rPr>
        <w:t xml:space="preserve">Рыночная стоимость всей выполненной работы: 435 000 – 760 000 ₽</w:t>
      </w:r>
    </w:p>
    <w:p>
      <w:pPr>
        <w:pStyle w:val="BodyText"/>
      </w:pPr>
      <w:r>
        <w:t xml:space="preserve">Эта работа выполнена безвозмездно, как помощь другу.</w:t>
      </w:r>
    </w:p>
    <w:p>
      <w:pPr>
        <w:pStyle w:val="BodyText"/>
      </w:pPr>
      <w:r>
        <w:t xml:space="preserve">Если вам понравился результат — лучшая благодарность это рекомендация друзьям и знакомым, которым нужны подобные услуги: маркетинговые исследования, стратегии, разработка сайтов.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подготовлен на основе анализа цен российского рынка digital- и маркетинговых услуг, февраль 2025–2026.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2026-02-18T21:03:58Z</dcterms:created>
  <dcterms:modified xsi:type="dcterms:W3CDTF">2026-02-18T21:03:58Z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