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Propiedades de las operaciones sobre conjuntos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Símbolos necesarios</w:t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∀  - para todo</w:t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∃  - existe</w:t>
      </w:r>
    </w:p>
    <w:p w:rsidR="00000000" w:rsidDel="00000000" w:rsidP="00000000" w:rsidRDefault="00000000" w:rsidRPr="00000000" w14:paraId="00000008">
      <w:pPr>
        <w:ind w:left="0" w:firstLine="0"/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≡  </w:t>
      </w:r>
      <w:r w:rsidDel="00000000" w:rsidR="00000000" w:rsidRPr="00000000">
        <w:rPr>
          <w:sz w:val="25"/>
          <w:szCs w:val="25"/>
          <w:rtl w:val="0"/>
        </w:rPr>
        <w:t xml:space="preserve">- igual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Satisfacción:</w:t>
      </w:r>
      <w:r w:rsidDel="00000000" w:rsidR="00000000" w:rsidRPr="00000000">
        <w:rPr>
          <w:rtl w:val="0"/>
        </w:rPr>
        <w:t xml:space="preserve"> Sean I una interpretación y F una fórmula, ambas sobre el vocabulario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P. La evaluación en I de F, denotada eval I (F), es una función que por cada fórmula da</w:t>
      </w:r>
    </w:p>
    <w:p w:rsidR="00000000" w:rsidDel="00000000" w:rsidP="00000000" w:rsidRDefault="00000000" w:rsidRPr="00000000" w14:paraId="0000000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un valor de {0, 1}.</w:t>
      </w:r>
    </w:p>
    <w:p w:rsidR="00000000" w:rsidDel="00000000" w:rsidP="00000000" w:rsidRDefault="00000000" w:rsidRPr="00000000" w14:paraId="0000000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si F es un sı́mbolo p de P entonces eval I (F) = I(p)</w:t>
      </w:r>
    </w:p>
    <w:p w:rsidR="00000000" w:rsidDel="00000000" w:rsidP="00000000" w:rsidRDefault="00000000" w:rsidRPr="00000000" w14:paraId="0000000F">
      <w:pPr>
        <w:spacing w:after="20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eval I ( (F ∧ G) )</w:t>
      </w:r>
      <w:r w:rsidDel="00000000" w:rsidR="00000000" w:rsidRPr="00000000">
        <w:rPr>
          <w:rtl w:val="0"/>
        </w:rPr>
        <w:t xml:space="preserve"> = min( eval I (F), eval I (G) )</w:t>
      </w:r>
    </w:p>
    <w:p w:rsidR="00000000" w:rsidDel="00000000" w:rsidP="00000000" w:rsidRDefault="00000000" w:rsidRPr="00000000" w14:paraId="00000010">
      <w:pPr>
        <w:spacing w:after="20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eval I ( (F ∨ G) )</w:t>
      </w:r>
      <w:r w:rsidDel="00000000" w:rsidR="00000000" w:rsidRPr="00000000">
        <w:rPr>
          <w:rtl w:val="0"/>
        </w:rPr>
        <w:t xml:space="preserve"> = max( eval I (F), eval I (G) )</w:t>
      </w:r>
    </w:p>
    <w:p w:rsidR="00000000" w:rsidDel="00000000" w:rsidP="00000000" w:rsidRDefault="00000000" w:rsidRPr="00000000" w14:paraId="00000011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eval I (¬F)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1 − eval I (F)</w:t>
      </w:r>
    </w:p>
    <w:p w:rsidR="00000000" w:rsidDel="00000000" w:rsidP="00000000" w:rsidRDefault="00000000" w:rsidRPr="00000000" w14:paraId="0000001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Satisfactibilidad, tautologı́a, consecuencia, y equivalencia lógica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fórmula</w:t>
      </w:r>
      <w:r w:rsidDel="00000000" w:rsidR="00000000" w:rsidRPr="00000000">
        <w:rPr>
          <w:b w:val="1"/>
          <w:rtl w:val="0"/>
        </w:rPr>
        <w:t xml:space="preserve"> F es satisfactible</w:t>
      </w:r>
      <w:r w:rsidDel="00000000" w:rsidR="00000000" w:rsidRPr="00000000">
        <w:rPr>
          <w:rtl w:val="0"/>
        </w:rPr>
        <w:t xml:space="preserve"> si tiene algún modelo, es decir, si existe alguna </w:t>
      </w:r>
      <w:r w:rsidDel="00000000" w:rsidR="00000000" w:rsidRPr="00000000">
        <w:rPr>
          <w:b w:val="1"/>
          <w:rtl w:val="0"/>
        </w:rPr>
        <w:t xml:space="preserve">interpretación I tal que I |= F.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Una fórmula</w:t>
      </w:r>
      <w:r w:rsidDel="00000000" w:rsidR="00000000" w:rsidRPr="00000000">
        <w:rPr>
          <w:b w:val="1"/>
          <w:rtl w:val="0"/>
        </w:rPr>
        <w:t xml:space="preserve"> F es una tautologı́a</w:t>
      </w:r>
      <w:r w:rsidDel="00000000" w:rsidR="00000000" w:rsidRPr="00000000">
        <w:rPr>
          <w:rtl w:val="0"/>
        </w:rPr>
        <w:t xml:space="preserve"> (o es válida), si toda interpretación es modelo de F, es decir, si para </w:t>
      </w:r>
      <w:r w:rsidDel="00000000" w:rsidR="00000000" w:rsidRPr="00000000">
        <w:rPr>
          <w:b w:val="1"/>
          <w:rtl w:val="0"/>
        </w:rPr>
        <w:t xml:space="preserve">toda interpretación I tenemos I |= F.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 es</w:t>
      </w:r>
      <w:r w:rsidDel="00000000" w:rsidR="00000000" w:rsidRPr="00000000">
        <w:rPr>
          <w:b w:val="1"/>
          <w:rtl w:val="0"/>
        </w:rPr>
        <w:t xml:space="preserve"> consecuencia lógica de G</w:t>
      </w:r>
      <w:r w:rsidDel="00000000" w:rsidR="00000000" w:rsidRPr="00000000">
        <w:rPr>
          <w:rtl w:val="0"/>
        </w:rPr>
        <w:t xml:space="preserve"> si todo modelo de G también lo es de F, es decir, si </w:t>
      </w:r>
      <w:r w:rsidDel="00000000" w:rsidR="00000000" w:rsidRPr="00000000">
        <w:rPr>
          <w:b w:val="1"/>
          <w:rtl w:val="0"/>
        </w:rPr>
        <w:t xml:space="preserve">para toda interpretación I sobre P tal que I |= G tenemos I |= F.</w:t>
      </w:r>
      <w:r w:rsidDel="00000000" w:rsidR="00000000" w:rsidRPr="00000000">
        <w:rPr>
          <w:rtl w:val="0"/>
        </w:rPr>
        <w:t xml:space="preserve"> Sobrecargando el operador “|= ”, esto se denotará por G |= F.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 y G son </w:t>
      </w:r>
      <w:r w:rsidDel="00000000" w:rsidR="00000000" w:rsidRPr="00000000">
        <w:rPr>
          <w:b w:val="1"/>
          <w:rtl w:val="0"/>
        </w:rPr>
        <w:t xml:space="preserve">lógicamente equivalentes</w:t>
      </w:r>
      <w:r w:rsidDel="00000000" w:rsidR="00000000" w:rsidRPr="00000000">
        <w:rPr>
          <w:rtl w:val="0"/>
        </w:rPr>
        <w:t xml:space="preserve"> si tienen los mismos modelos, es decir, si para toda interpretación I sobre P tenemos I |= G si y sólo si I |= F.  Esto se denotará por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 ≡ 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El sı́mbolo “|= ” denota: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satisfacción cuando a su izquierda hay una interpretación I;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I |= F</w:t>
      </w:r>
      <w:r w:rsidDel="00000000" w:rsidR="00000000" w:rsidRPr="00000000">
        <w:rPr>
          <w:rtl w:val="0"/>
        </w:rPr>
        <w:t xml:space="preserve"> denota que </w:t>
      </w:r>
      <w:r w:rsidDel="00000000" w:rsidR="00000000" w:rsidRPr="00000000">
        <w:rPr>
          <w:b w:val="1"/>
          <w:rtl w:val="0"/>
        </w:rPr>
        <w:t xml:space="preserve">I satisface F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en la izquierda hay una fórmula G, el sı́mbolo “|= ” denota 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consecuencia lógica; ası́, </w:t>
      </w:r>
      <w:r w:rsidDel="00000000" w:rsidR="00000000" w:rsidRPr="00000000">
        <w:rPr>
          <w:b w:val="1"/>
          <w:rtl w:val="0"/>
        </w:rPr>
        <w:t xml:space="preserve">G |= F</w:t>
      </w:r>
      <w:r w:rsidDel="00000000" w:rsidR="00000000" w:rsidRPr="00000000">
        <w:rPr>
          <w:rtl w:val="0"/>
        </w:rPr>
        <w:t xml:space="preserve">, denota que </w:t>
      </w:r>
      <w:r w:rsidDel="00000000" w:rsidR="00000000" w:rsidRPr="00000000">
        <w:rPr>
          <w:b w:val="1"/>
          <w:rtl w:val="0"/>
        </w:rPr>
        <w:t xml:space="preserve">todo modelo de G satisface F.</w:t>
      </w:r>
    </w:p>
    <w:p w:rsidR="00000000" w:rsidDel="00000000" w:rsidP="00000000" w:rsidRDefault="00000000" w:rsidRPr="00000000" w14:paraId="0000001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Demostraciones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Consecuencia lógica:</w:t>
      </w:r>
      <w:r w:rsidDel="00000000" w:rsidR="00000000" w:rsidRPr="00000000">
        <w:rPr>
          <w:rtl w:val="0"/>
        </w:rPr>
        <w:t xml:space="preserve"> F |= G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≡       </w:t>
      </w:r>
      <w:r w:rsidDel="00000000" w:rsidR="00000000" w:rsidRPr="00000000">
        <w:rPr>
          <w:rtl w:val="0"/>
        </w:rPr>
        <w:t xml:space="preserve"> F -&gt; G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≡</w:t>
      </w:r>
      <w:r w:rsidDel="00000000" w:rsidR="00000000" w:rsidRPr="00000000">
        <w:rPr>
          <w:rtl w:val="0"/>
        </w:rPr>
        <w:t xml:space="preserve">      ¬F v G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Per a demostrar:    </w:t>
      </w:r>
      <w:r w:rsidDel="00000000" w:rsidR="00000000" w:rsidRPr="00000000">
        <w:rPr>
          <w:rtl w:val="0"/>
        </w:rPr>
        <w:t xml:space="preserve">F ^ ¬G és insat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Lógicamente equivalente: </w:t>
      </w:r>
      <w:r w:rsidDel="00000000" w:rsidR="00000000" w:rsidRPr="00000000">
        <w:rPr>
          <w:rtl w:val="0"/>
        </w:rPr>
        <w:t xml:space="preserve">  G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≡ </w:t>
      </w:r>
      <w:r w:rsidDel="00000000" w:rsidR="00000000" w:rsidRPr="00000000">
        <w:rPr>
          <w:rtl w:val="0"/>
        </w:rPr>
        <w:t xml:space="preserve">F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≡  </w:t>
      </w:r>
      <w:r w:rsidDel="00000000" w:rsidR="00000000" w:rsidRPr="00000000">
        <w:rPr>
          <w:rtl w:val="0"/>
        </w:rPr>
        <w:t xml:space="preserve">( I |= G) &lt;-&gt; ( I |= F)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≡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((¬F ∨ G) ∧ (¬G ∨ F))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Per a demostrar: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((F ∨ ¬G) ∧ (G ∨ ¬F)) es insat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 -&gt; G</w:t>
      </w:r>
      <w:r w:rsidDel="00000000" w:rsidR="00000000" w:rsidRPr="00000000">
        <w:rPr>
          <w:rtl w:val="0"/>
        </w:rPr>
        <w:t xml:space="preserve"> abreviatura 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(¬F ∨ G)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F &lt;-&gt; G </w:t>
      </w:r>
      <w:r w:rsidDel="00000000" w:rsidR="00000000" w:rsidRPr="00000000">
        <w:rPr>
          <w:rtl w:val="0"/>
        </w:rPr>
        <w:t xml:space="preserve">abreviatura 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((¬F ∨ G) ∧ (¬G ∨ F))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TAUTOLOGÍA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NP-Completo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NP-Completo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Tautología en CNF: </w:t>
      </w:r>
      <w:r w:rsidDel="00000000" w:rsidR="00000000" w:rsidRPr="00000000">
        <w:rPr>
          <w:rtl w:val="0"/>
        </w:rPr>
        <w:t xml:space="preserve">S is a tautology iff all clauses C in S are tautologies. A clause is a tautology iff it contains some predicate symbol p and its negation¬p. So the best method is to check this: linear time.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AMO’s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https://www.cs.upc.edu/~roberto/li/codif.pdf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Ladder encoding: (menores cláusulas)</w:t>
      </w:r>
    </w:p>
    <w:p w:rsidR="00000000" w:rsidDel="00000000" w:rsidP="00000000" w:rsidRDefault="00000000" w:rsidRPr="00000000" w14:paraId="0000003F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 auxiliary variables a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25"/>
          <w:szCs w:val="25"/>
          <w:rtl w:val="0"/>
        </w:rPr>
        <w:t xml:space="preserve">. . . a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4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25"/>
          <w:szCs w:val="25"/>
          <w:rtl w:val="0"/>
        </w:rPr>
        <w:t xml:space="preserve">3n clauses:¬a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∨a</w:t>
      </w:r>
      <w:r w:rsidDel="00000000" w:rsidR="00000000" w:rsidRPr="00000000">
        <w:rPr>
          <w:sz w:val="18"/>
          <w:szCs w:val="18"/>
          <w:rtl w:val="0"/>
        </w:rPr>
        <w:t xml:space="preserve">i+1</w:t>
      </w:r>
      <w:r w:rsidDel="00000000" w:rsidR="00000000" w:rsidRPr="00000000">
        <w:rPr>
          <w:sz w:val="25"/>
          <w:szCs w:val="25"/>
          <w:rtl w:val="0"/>
        </w:rPr>
        <w:t xml:space="preserve">,¬x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∨a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25"/>
          <w:szCs w:val="25"/>
          <w:rtl w:val="0"/>
        </w:rPr>
        <w:t xml:space="preserve">,¬a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∨¬x</w:t>
      </w:r>
      <w:r w:rsidDel="00000000" w:rsidR="00000000" w:rsidRPr="00000000">
        <w:rPr>
          <w:sz w:val="18"/>
          <w:szCs w:val="18"/>
          <w:rtl w:val="0"/>
        </w:rPr>
        <w:t xml:space="preserve">i+1</w:t>
      </w:r>
    </w:p>
    <w:p w:rsidR="00000000" w:rsidDel="00000000" w:rsidP="00000000" w:rsidRDefault="00000000" w:rsidRPr="00000000" w14:paraId="00000041">
      <w:pPr>
        <w:ind w:left="720" w:firstLine="0"/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for 1≤i≤n</w:t>
      </w:r>
    </w:p>
    <w:p w:rsidR="00000000" w:rsidDel="00000000" w:rsidP="00000000" w:rsidRDefault="00000000" w:rsidRPr="00000000" w14:paraId="00000042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Heule-3 encoding: (menores clausulas)</w:t>
      </w:r>
    </w:p>
    <w:p w:rsidR="00000000" w:rsidDel="00000000" w:rsidP="00000000" w:rsidRDefault="00000000" w:rsidRPr="00000000" w14:paraId="00000044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n/2 auxiliary variables</w:t>
      </w:r>
    </w:p>
    <w:p w:rsidR="00000000" w:rsidDel="00000000" w:rsidP="00000000" w:rsidRDefault="00000000" w:rsidRPr="00000000" w14:paraId="00000045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3n clauses, by expressing x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25"/>
          <w:szCs w:val="25"/>
          <w:rtl w:val="0"/>
        </w:rPr>
        <w:t xml:space="preserve">+···+x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≤1  as  x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25"/>
          <w:szCs w:val="25"/>
          <w:rtl w:val="0"/>
        </w:rPr>
        <w:t xml:space="preserve">+x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25"/>
          <w:szCs w:val="25"/>
          <w:rtl w:val="0"/>
        </w:rPr>
        <w:t xml:space="preserve">+x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+a≤1  ∧ ¬a+x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25"/>
          <w:szCs w:val="25"/>
          <w:rtl w:val="0"/>
        </w:rPr>
        <w:t xml:space="preserve">+···+x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≤1</w:t>
      </w:r>
    </w:p>
    <w:p w:rsidR="00000000" w:rsidDel="00000000" w:rsidP="00000000" w:rsidRDefault="00000000" w:rsidRPr="00000000" w14:paraId="00000046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using</w:t>
      </w:r>
      <w:r w:rsidDel="00000000" w:rsidR="00000000" w:rsidRPr="00000000">
        <w:rPr>
          <w:sz w:val="23"/>
          <w:szCs w:val="23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4/2</w:t>
      </w:r>
      <w:r w:rsidDel="00000000" w:rsidR="00000000" w:rsidRPr="00000000">
        <w:rPr>
          <w:sz w:val="23"/>
          <w:szCs w:val="23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= 6 clauses forx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25"/>
          <w:szCs w:val="25"/>
          <w:rtl w:val="0"/>
        </w:rPr>
        <w:t xml:space="preserve">+x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25"/>
          <w:szCs w:val="25"/>
          <w:rtl w:val="0"/>
        </w:rPr>
        <w:t xml:space="preserve">+x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+a≤1</w:t>
      </w:r>
    </w:p>
    <w:p w:rsidR="00000000" w:rsidDel="00000000" w:rsidP="00000000" w:rsidRDefault="00000000" w:rsidRPr="00000000" w14:paraId="00000047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quadratic encoding (menor nombre de auxiliars)</w:t>
      </w:r>
    </w:p>
    <w:p w:rsidR="00000000" w:rsidDel="00000000" w:rsidP="00000000" w:rsidRDefault="00000000" w:rsidRPr="00000000" w14:paraId="00000049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no auxiliary vars</w:t>
      </w:r>
    </w:p>
    <w:p w:rsidR="00000000" w:rsidDel="00000000" w:rsidP="00000000" w:rsidRDefault="00000000" w:rsidRPr="00000000" w14:paraId="0000004A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</w:t>
      </w:r>
      <w:r w:rsidDel="00000000" w:rsidR="00000000" w:rsidRPr="00000000">
        <w:rPr>
          <w:sz w:val="23"/>
          <w:szCs w:val="23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n2</w:t>
      </w:r>
      <w:r w:rsidDel="00000000" w:rsidR="00000000" w:rsidRPr="00000000">
        <w:rPr>
          <w:sz w:val="23"/>
          <w:szCs w:val="23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clauses ¬x</w:t>
      </w:r>
      <w:r w:rsidDel="00000000" w:rsidR="00000000" w:rsidRPr="00000000">
        <w:rPr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∨ ¬x</w:t>
      </w:r>
      <w:r w:rsidDel="00000000" w:rsidR="00000000" w:rsidRPr="00000000">
        <w:rPr>
          <w:sz w:val="18"/>
          <w:szCs w:val="18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for 1≤i &lt; j≤n.</w:t>
      </w:r>
    </w:p>
    <w:p w:rsidR="00000000" w:rsidDel="00000000" w:rsidP="00000000" w:rsidRDefault="00000000" w:rsidRPr="00000000" w14:paraId="0000004C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140"/>
        <w:tblGridChange w:id="0">
          <w:tblGrid>
            <w:gridCol w:w="4140"/>
            <w:gridCol w:w="4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DECIDIBLE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That there exists a procedure that, given the input data,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answers correctly whether the answer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is yes or no, and always terminates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SEMI-DECIDIBLE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That there exists a procedure such that, given the input data, if it terminates it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answers correctly whether the answer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is yes or no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, and it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always terminates if the answer is 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CO-SEMI-DECIDIBLE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That there exists a procedure such that, given the input data, if it terminates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it answers correctly whether the answer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is yes or no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, and it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always terminates if the answer is no.</w:t>
            </w:r>
          </w:p>
        </w:tc>
      </w:tr>
    </w:tbl>
    <w:p w:rsidR="00000000" w:rsidDel="00000000" w:rsidP="00000000" w:rsidRDefault="00000000" w:rsidRPr="00000000" w14:paraId="00000055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2-SAT resolution</w:t>
      </w:r>
    </w:p>
    <w:p w:rsidR="00000000" w:rsidDel="00000000" w:rsidP="00000000" w:rsidRDefault="00000000" w:rsidRPr="00000000" w14:paraId="00000058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Res(S) only contains 2-literal clauses (cannot get larger clauses by resolution from 2-literal clauses).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Only a quadratic number of 2-literal clauses exist, so |Res(S)| is quadratic and can be computed in polynomial time.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 insat iff empty clause in Res(S).</w:t>
      </w:r>
    </w:p>
    <w:p w:rsidR="00000000" w:rsidDel="00000000" w:rsidP="00000000" w:rsidRDefault="00000000" w:rsidRPr="00000000" w14:paraId="0000005C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s.upc.edu/~roberto/li/codi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