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200"/>
        <w:jc w:val="left"/>
      </w:pPr>
      <w:r>
        <w:rPr>
          <w:caps/>
          <w:color w:val="8C97A6"/>
          <w:sz w:val="20"/>
          <w:szCs w:val="20"/>
        </w:rPr>
        <w:t xml:space="preserve">ALTEN · Direction Ingénierie Numérique · SupplyScore</w:t>
      </w:r>
    </w:p>
    <w:p>
      <w:pPr>
        <w:spacing w:after="160"/>
      </w:pPr>
      <w:r>
        <w:rPr>
          <w:b/>
          <w:bCs/>
          <w:color w:val="1F3050"/>
          <w:sz w:val="72"/>
          <w:szCs w:val="72"/>
        </w:rPr>
        <w:t xml:space="preserve">Campagne HÉLIOS</w:t>
      </w:r>
    </w:p>
    <w:p>
      <w:pPr>
        <w:spacing w:after="120"/>
      </w:pPr>
      <w:r>
        <w:rPr>
          <w:b/>
          <w:bCs/>
          <w:color w:val="0072BC"/>
          <w:sz w:val="34"/>
          <w:szCs w:val="34"/>
        </w:rPr>
        <w:t xml:space="preserve">Dossier complet de la phase d'expérimentation</w:t>
      </w:r>
    </w:p>
    <w:p>
      <w:pPr>
        <w:spacing w:after="700"/>
        <w:jc w:val="both"/>
      </w:pPr>
      <w:r>
        <w:rPr>
          <w:color w:val="1F3050"/>
          <w:sz w:val="23"/>
          <w:szCs w:val="23"/>
        </w:rPr>
        <w:t xml:space="preserve">Modélisation et rejeu de la crise mondiale des semi-conducteurs (2020-2022) pour la validation empirique du score d'adéquation entre urgence déclarée et urgence réelle : théorie, hypothèses, scénario, données, production et analyse.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2200"/>
        <w:gridCol w:w="6826"/>
      </w:tblGrid>
      <w:tr>
        <w:tc>
          <w:tcPr>
            <w:tcW w:type="dxa" w:w="2200"/>
            <w:tcMar>
              <w:top w:type="dxa" w:w="50"/>
              <w:left w:type="dxa" w:w="90"/>
              <w:bottom w:type="dxa" w:w="50"/>
              <w:right w:type="dxa" w:w="90"/>
            </w:tcMar>
            <w:vAlign w:val="center"/>
          </w:tcPr>
          <w:p>
            <w:pPr>
              <w:spacing w:after="20"/>
              <w:jc w:val="left"/>
            </w:pPr>
            <w:r>
              <w:rPr>
                <w:color w:val="1F3050"/>
                <w:sz w:val="19"/>
                <w:szCs w:val="19"/>
              </w:rPr>
              <w:t xml:space="preserve">Auteur</w:t>
            </w:r>
          </w:p>
        </w:tc>
        <w:tc>
          <w:tcPr>
            <w:tcW w:type="dxa" w:w="6826"/>
            <w:tcMar>
              <w:top w:type="dxa" w:w="50"/>
              <w:left w:type="dxa" w:w="90"/>
              <w:bottom w:type="dxa" w:w="50"/>
              <w:right w:type="dxa" w:w="90"/>
            </w:tcMar>
            <w:vAlign w:val="center"/>
          </w:tcPr>
          <w:p>
            <w:pPr>
              <w:spacing w:after="20"/>
              <w:jc w:val="left"/>
            </w:pPr>
            <w:r>
              <w:rPr>
                <w:color w:val="1F3050"/>
                <w:sz w:val="19"/>
                <w:szCs w:val="19"/>
              </w:rPr>
              <w:t xml:space="preserve">John Hoarau (ALTEN, stage R&amp;D DISCO)</w:t>
            </w:r>
          </w:p>
        </w:tc>
      </w:tr>
      <w:tr>
        <w:tc>
          <w:tcPr>
            <w:tcW w:type="dxa" w:w="2200"/>
            <w:shd w:fill="EDF3F9" w:val="clear"/>
            <w:tcMar>
              <w:top w:type="dxa" w:w="50"/>
              <w:left w:type="dxa" w:w="90"/>
              <w:bottom w:type="dxa" w:w="50"/>
              <w:right w:type="dxa" w:w="90"/>
            </w:tcMar>
            <w:vAlign w:val="center"/>
          </w:tcPr>
          <w:p>
            <w:pPr>
              <w:spacing w:after="20"/>
              <w:jc w:val="left"/>
            </w:pPr>
            <w:r>
              <w:rPr>
                <w:color w:val="1F3050"/>
                <w:sz w:val="19"/>
                <w:szCs w:val="19"/>
              </w:rPr>
              <w:t xml:space="preserve">Date</w:t>
            </w:r>
          </w:p>
        </w:tc>
        <w:tc>
          <w:tcPr>
            <w:tcW w:type="dxa" w:w="6826"/>
            <w:shd w:fill="EDF3F9" w:val="clear"/>
            <w:tcMar>
              <w:top w:type="dxa" w:w="50"/>
              <w:left w:type="dxa" w:w="90"/>
              <w:bottom w:type="dxa" w:w="50"/>
              <w:right w:type="dxa" w:w="90"/>
            </w:tcMar>
            <w:vAlign w:val="center"/>
          </w:tcPr>
          <w:p>
            <w:pPr>
              <w:spacing w:after="20"/>
              <w:jc w:val="left"/>
            </w:pPr>
            <w:r>
              <w:rPr>
                <w:color w:val="1F3050"/>
                <w:sz w:val="19"/>
                <w:szCs w:val="19"/>
              </w:rPr>
              <w:t xml:space="preserve">8 juillet 2026</w:t>
            </w:r>
          </w:p>
        </w:tc>
      </w:tr>
      <w:tr>
        <w:tc>
          <w:tcPr>
            <w:tcW w:type="dxa" w:w="2200"/>
            <w:tcMar>
              <w:top w:type="dxa" w:w="50"/>
              <w:left w:type="dxa" w:w="90"/>
              <w:bottom w:type="dxa" w:w="50"/>
              <w:right w:type="dxa" w:w="90"/>
            </w:tcMar>
            <w:vAlign w:val="center"/>
          </w:tcPr>
          <w:p>
            <w:pPr>
              <w:spacing w:after="20"/>
              <w:jc w:val="left"/>
            </w:pPr>
            <w:r>
              <w:rPr>
                <w:color w:val="1F3050"/>
                <w:sz w:val="19"/>
                <w:szCs w:val="19"/>
              </w:rPr>
              <w:t xml:space="preserve">Version</w:t>
            </w:r>
          </w:p>
        </w:tc>
        <w:tc>
          <w:tcPr>
            <w:tcW w:type="dxa" w:w="6826"/>
            <w:tcMar>
              <w:top w:type="dxa" w:w="50"/>
              <w:left w:type="dxa" w:w="90"/>
              <w:bottom w:type="dxa" w:w="50"/>
              <w:right w:type="dxa" w:w="90"/>
            </w:tcMar>
            <w:vAlign w:val="center"/>
          </w:tcPr>
          <w:p>
            <w:pPr>
              <w:spacing w:after="20"/>
              <w:jc w:val="left"/>
            </w:pPr>
            <w:r>
              <w:rPr>
                <w:color w:val="1F3050"/>
                <w:sz w:val="19"/>
                <w:szCs w:val="19"/>
              </w:rPr>
              <w:t xml:space="preserve">1.0</w:t>
            </w:r>
          </w:p>
        </w:tc>
      </w:tr>
      <w:tr>
        <w:tc>
          <w:tcPr>
            <w:tcW w:type="dxa" w:w="2200"/>
            <w:shd w:fill="EDF3F9" w:val="clear"/>
            <w:tcMar>
              <w:top w:type="dxa" w:w="50"/>
              <w:left w:type="dxa" w:w="90"/>
              <w:bottom w:type="dxa" w:w="50"/>
              <w:right w:type="dxa" w:w="90"/>
            </w:tcMar>
            <w:vAlign w:val="center"/>
          </w:tcPr>
          <w:p>
            <w:pPr>
              <w:spacing w:after="20"/>
              <w:jc w:val="left"/>
            </w:pPr>
            <w:r>
              <w:rPr>
                <w:color w:val="1F3050"/>
                <w:sz w:val="19"/>
                <w:szCs w:val="19"/>
              </w:rPr>
              <w:t xml:space="preserve">Statut</w:t>
            </w:r>
          </w:p>
        </w:tc>
        <w:tc>
          <w:tcPr>
            <w:tcW w:type="dxa" w:w="6826"/>
            <w:shd w:fill="EDF3F9" w:val="clear"/>
            <w:tcMar>
              <w:top w:type="dxa" w:w="50"/>
              <w:left w:type="dxa" w:w="90"/>
              <w:bottom w:type="dxa" w:w="50"/>
              <w:right w:type="dxa" w:w="90"/>
            </w:tcMar>
            <w:vAlign w:val="center"/>
          </w:tcPr>
          <w:p>
            <w:pPr>
              <w:spacing w:after="20"/>
              <w:jc w:val="left"/>
            </w:pPr>
            <w:r>
              <w:rPr>
                <w:color w:val="1F3050"/>
                <w:sz w:val="19"/>
                <w:szCs w:val="19"/>
              </w:rPr>
              <w:t xml:space="preserve">Protocole gelé ; rejeu grandeur nature (dry run v5) exécuté ; campagne humaine à venir</w:t>
            </w:r>
          </w:p>
        </w:tc>
      </w:tr>
      <w:tr>
        <w:tc>
          <w:tcPr>
            <w:tcW w:type="dxa" w:w="2200"/>
            <w:tcMar>
              <w:top w:type="dxa" w:w="50"/>
              <w:left w:type="dxa" w:w="90"/>
              <w:bottom w:type="dxa" w:w="50"/>
              <w:right w:type="dxa" w:w="90"/>
            </w:tcMar>
            <w:vAlign w:val="center"/>
          </w:tcPr>
          <w:p>
            <w:pPr>
              <w:spacing w:after="20"/>
              <w:jc w:val="left"/>
            </w:pPr>
            <w:r>
              <w:rPr>
                <w:color w:val="1F3050"/>
                <w:sz w:val="19"/>
                <w:szCs w:val="19"/>
              </w:rPr>
              <w:t xml:space="preserve">Périmètre</w:t>
            </w:r>
          </w:p>
        </w:tc>
        <w:tc>
          <w:tcPr>
            <w:tcW w:type="dxa" w:w="6826"/>
            <w:tcMar>
              <w:top w:type="dxa" w:w="50"/>
              <w:left w:type="dxa" w:w="90"/>
              <w:bottom w:type="dxa" w:w="50"/>
              <w:right w:type="dxa" w:w="90"/>
            </w:tcMar>
            <w:vAlign w:val="center"/>
          </w:tcPr>
          <w:p>
            <w:pPr>
              <w:spacing w:after="20"/>
              <w:jc w:val="left"/>
            </w:pPr>
            <w:r>
              <w:rPr>
                <w:color w:val="1F3050"/>
                <w:sz w:val="19"/>
                <w:szCs w:val="19"/>
              </w:rPr>
              <w:t xml:space="preserve">projects/simu_semiconducteurs/ et supplyscore/ (dépôt AZURE)</w:t>
            </w:r>
          </w:p>
        </w:tc>
      </w:tr>
      <w:tr>
        <w:tc>
          <w:tcPr>
            <w:tcW w:type="dxa" w:w="2200"/>
            <w:shd w:fill="EDF3F9" w:val="clear"/>
            <w:tcMar>
              <w:top w:type="dxa" w:w="50"/>
              <w:left w:type="dxa" w:w="90"/>
              <w:bottom w:type="dxa" w:w="50"/>
              <w:right w:type="dxa" w:w="90"/>
            </w:tcMar>
            <w:vAlign w:val="center"/>
          </w:tcPr>
          <w:p>
            <w:pPr>
              <w:spacing w:after="20"/>
              <w:jc w:val="left"/>
            </w:pPr>
            <w:r>
              <w:rPr>
                <w:color w:val="1F3050"/>
                <w:sz w:val="19"/>
                <w:szCs w:val="19"/>
              </w:rPr>
              <w:t xml:space="preserve">Documents liés</w:t>
            </w:r>
          </w:p>
        </w:tc>
        <w:tc>
          <w:tcPr>
            <w:tcW w:type="dxa" w:w="6826"/>
            <w:shd w:fill="EDF3F9" w:val="clear"/>
            <w:tcMar>
              <w:top w:type="dxa" w:w="50"/>
              <w:left w:type="dxa" w:w="90"/>
              <w:bottom w:type="dxa" w:w="50"/>
              <w:right w:type="dxa" w:w="90"/>
            </w:tcMar>
            <w:vAlign w:val="center"/>
          </w:tcPr>
          <w:p>
            <w:pPr>
              <w:spacing w:after="20"/>
              <w:jc w:val="left"/>
            </w:pPr>
            <w:r>
              <w:rPr>
                <w:color w:val="1F3050"/>
                <w:sz w:val="19"/>
                <w:szCs w:val="19"/>
              </w:rPr>
              <w:t xml:space="preserve">PROTOCOLE.md, scenario/narration.md, data/raw/MANIFEST.md, BST DISCO 2026 (§2.4 et §4, sec:serious_game)</w:t>
            </w:r>
          </w:p>
        </w:tc>
      </w:tr>
    </w:tbl>
    <w:p>
      <w:pPr>
        <w:spacing w:after="400"/>
      </w:pPr>
    </w:p>
    <w:tbl>
      <w:tblPr>
        <w:tblW w:type="dxa" w:w="9026"/>
        <w:tblBorders>
          <w:top w:val="single" w:color="C8862A" w:sz="8"/>
          <w:left w:val="single" w:color="C8862A" w:sz="8"/>
          <w:bottom w:val="single" w:color="C8862A" w:sz="8"/>
          <w:right w:val="single" w:color="C8862A" w:sz="8"/>
          <w:insideH w:val="none" w:color="FFFFFF" w:sz="0"/>
          <w:insideV w:val="none" w:color="FFFFFF" w:sz="0"/>
        </w:tblBorders>
      </w:tblPr>
      <w:tblGrid>
        <w:gridCol w:w="9026"/>
      </w:tblGrid>
      <w:tr>
        <w:tc>
          <w:tcPr>
            <w:tcW w:type="dxa" w:w="9026"/>
            <w:shd w:fill="FBF3E4" w:val="clear"/>
            <w:tcMar>
              <w:top w:type="dxa" w:w="120"/>
              <w:left w:type="dxa" w:w="160"/>
              <w:bottom w:type="dxa" w:w="60"/>
              <w:right w:type="dxa" w:w="160"/>
            </w:tcMar>
          </w:tcPr>
          <w:p>
            <w:pPr>
              <w:spacing w:after="120" w:line="276"/>
              <w:jc w:val="both"/>
            </w:pPr>
            <w:r>
              <w:rPr>
                <w:b/>
                <w:bCs/>
                <w:color w:val="C8862A"/>
              </w:rPr>
              <w:t xml:space="preserve">Document interne (facilitateur, doctorante, encadrement). </w:t>
            </w:r>
            <w:r>
              <w:t xml:space="preserve">Ce dossier contient le scénario complet, la correspondance tour par tour avec la crise réelle, les fiches placebo et le registre d'hypothèses. Il ne doit être communiqué à aucun des huit consultants participants avant le débrief-reveal du jour J15 : toute fuite invaliderait le contrôle en aveugle de la campagne.</w:t>
            </w:r>
          </w:p>
        </w:tc>
      </w:tr>
    </w:tbl>
    <w:p>
      <w:r>
        <w:br w:type="page"/>
      </w:r>
    </w:p>
    <w:p>
      <w:pPr>
        <w:sectPr>
          <w:pgSz w:w="11906" w:h="16838" w:orient="portrait"/>
          <w:pgMar w:top="1440" w:right="1440" w:bottom="1440" w:left="1440" w:header="708" w:footer="708" w:gutter="0"/>
          <w:pgNumType/>
          <w:titlePg/>
          <w:docGrid w:linePitch="360"/>
        </w:sectPr>
      </w:pPr>
    </w:p>
    <w:p>
      <w:pPr>
        <w:spacing w:after="200"/>
      </w:pPr>
      <w:r>
        <w:rPr>
          <w:b/>
          <w:bCs/>
          <w:color w:val="0072BC"/>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spacing w:after="180" w:before="240"/>
      </w:pPr>
      <w:r>
        <w:t xml:space="preserve">1. Résumé exécutif</w:t>
      </w:r>
    </w:p>
    <w:p>
      <w:pPr>
        <w:spacing w:after="120" w:line="276"/>
        <w:jc w:val="both"/>
      </w:pPr>
      <w:r>
        <w:t xml:space="preserve">SupplyScore calcule en continu deux urgences pour chaque nœud d'une chaîne d'approvisionnement : l'urgence déclarée Ud, recueillie chaque semaine auprès des responsables par un questionnaire multicritère AHP, et l'urgence réelle Ur, calculée depuis les indicateurs physiques du jumeau numérique. L'écart entre les deux alimente un score d'adéquation A et deux signaux pathologiques, la fausse urgence F (panique injustifiée) et le risque caché H (danger sous-déclaré). Jusqu'ici, ces mécanismes n'avaient été vérifiés que par des exemples numériques et 1 425 tests automatisés : aucune donnée humaine, aucune crise réelle.</w:t>
      </w:r>
    </w:p>
    <w:p>
      <w:pPr>
        <w:spacing w:after="120" w:line="276"/>
        <w:jc w:val="both"/>
      </w:pPr>
      <w:r>
        <w:t xml:space="preserve">La campagne HÉLIOS comble ce manque. Elle rejoue la crise mondiale des semi-conducteurs, de septembre 2020 à février 2022, sous une couverture narrative (le « Programme HÉLIOS », livraison de deux satellites d'observation) qui masque la crise réelle aux participants. Huit consultants jouent chacun le responsable supply chain d'une entreprise fictive ancrée sur un acteur réel de la crise. Leur Ud est recueilli deux fois par jour pendant neuf jours ouvrés (18 tours de jeu, un tour représentant un mois réel), tandis que le Ur est alimenté exclusivement par des séries publiques authentiques (INSEE, WSTS, BLS via Kaggle) et par douze événements moteur calibrés reproduisant la chronologie documentée de la crise (gel du Texas, incendie Renesas, blocage de Suez, sécheresse à Taïwan, confinements du backend, bullwhip, flambée du polysilicium).</w:t>
      </w:r>
    </w:p>
    <w:p>
      <w:pPr>
        <w:spacing w:after="120" w:line="276"/>
        <w:jc w:val="both"/>
      </w:pPr>
      <w:r>
        <w:t xml:space="preserve">Six hypothèses falsifiables, chacune avec un seuil chiffré fixé à l'avance, sont pré-enregistrées et gelées avant le premier tour : latence cognitive (HA1), détection précoce du risque caché (HA2), criticité structurelle du goulot (HA3), validité prédictive du signal H (HA4), contagion de l'urgence (HA5) et hystérésis de la perception (HA6). Deux fiches placebo, un pack de données gelé par empreintes SHA-256, une règle d'écriture neutre des fiches et un journal de campagne protègent l'intégrité de la mesure.</w:t>
      </w:r>
    </w:p>
    <w:p>
      <w:pPr>
        <w:spacing w:after="120" w:line="276"/>
        <w:jc w:val="both"/>
      </w:pPr>
      <w:r>
        <w:t xml:space="preserve">État au 8 juillet 2026 : les données sont acquises et vérifiées (contrôle d'authenticité HD5 ayant conduit à écarter un des deux jeux Kaggle), le pipeline de préparation et les six scripts d'exploitation sont livrés, le scénario a été calibré par cinq itérations de dry run, et un rejeu grandeur nature des 19 tours (T0 à T18) a été exécuté de bout en bout avec des répondants synthétiques. Ce rejeu valide la mécanique complète (injection, décroissance hebdomadaire, couverture, snapshots, sauvegardes, analyse) et fournit une première lecture des six tests : sur données synthétiques, aucune hypothèse n'est confirmée, ce qui est attendu pour les hypothèses cognitives (le Ud synthétique n'a ni latence, ni contagion, ni hystérésis) et instructif pour les autres (dégénérescence de l'indice de criticité en réseau saturé, seuil H = 0.5 jamais atteint par construction). La campagne humaine, seule à même de trancher les hypothèses, reste à exécuter ; ses résultats rempliront les blocs réservés du BST (section sec:serious_game).</w:t>
      </w:r>
    </w:p>
    <w:p>
      <w:pPr>
        <w:pStyle w:val="Heading1"/>
        <w:pageBreakBefore/>
        <w:spacing w:after="180" w:before="240"/>
      </w:pPr>
      <w:r>
        <w:t xml:space="preserve">2. Contexte, objectifs et genèse du protocole</w:t>
      </w:r>
    </w:p>
    <w:p>
      <w:pPr>
        <w:pStyle w:val="Heading2"/>
        <w:spacing w:after="130" w:before="260"/>
      </w:pPr>
      <w:r>
        <w:t xml:space="preserve">2.1 Le manque à combler</w:t>
      </w:r>
    </w:p>
    <w:p>
      <w:pPr>
        <w:spacing w:after="120" w:line="276"/>
        <w:jc w:val="both"/>
      </w:pPr>
      <w:r>
        <w:t xml:space="preserve">Le mémoire scientifique et technique (BST DISCO 2026) documente SupplyScore : un jumeau numérique et serious game autonome (Python, Dash, </w:t>
      </w:r>
      <w:r>
        <w:t xml:space="preserve">65 modules, 1 425 tests automatisés</w:t>
      </w:r>
      <w:r>
        <w:t xml:space="preserve">) qui calcule le score d'adéquation entre urgence déclarée et urgence réelle. Sa limite, identifiée dans le BST lui-même, est que les résultats présentés étaient des exemples numériques vérifiés à la main : le système n'avait jamais été confronté ni à des opérateurs humains, ni à une crise documentée. La campagne HÉLIOS est le protocole construit pour produire le premier jeu de données de validation empirique.</w:t>
      </w:r>
    </w:p>
    <w:p>
      <w:pPr>
        <w:spacing w:after="120" w:line="276"/>
        <w:jc w:val="both"/>
      </w:pPr>
      <w:r>
        <w:t xml:space="preserve">La crise des semi-conducteurs 2020-2022 a été retenue comme terrain pour quatre raisons. Elle est abondamment documentée (chronologie publique, délais mesurés, événements datés), ce qui fournit une vérité terrain indépendante. Ses données sont accessibles gratuitement (INSEE, WSTS, BLS). Son goulot d'étranglement réel est connu (les fondeurs, et en particulier l'écosystème taïwanais et texan), ce qui permet de tester si le service de criticité le retrouve sans qu'on le lui souffle. Enfin, elle contient en un seul épisode tous les mécanismes que le modèle prétend capter : montée lente, chocs exogènes, propagation amont-aval, panique informationnelle (bullwhip) et décrue.</w:t>
      </w:r>
    </w:p>
    <w:p>
      <w:pPr>
        <w:pStyle w:val="Heading2"/>
        <w:spacing w:after="130" w:before="260"/>
      </w:pPr>
      <w:r>
        <w:t xml:space="preserve">2.2 Objectifs de l'expérimentation</w:t>
      </w:r>
    </w:p>
    <w:p>
      <w:pPr>
        <w:pStyle w:val="ListParagraph"/>
        <w:numPr>
          <w:ilvl w:val="0"/>
          <w:numId w:val="2"/>
        </w:numPr>
        <w:spacing w:after="60" w:line="264"/>
        <w:jc w:val="both"/>
      </w:pPr>
      <w:r>
        <w:t xml:space="preserve">Mesurer la corrélation entre urgence déclarée et urgence réelle sur un cas réel, nœud par nœud et tour par tour.</w:t>
      </w:r>
    </w:p>
    <w:p>
      <w:pPr>
        <w:pStyle w:val="ListParagraph"/>
        <w:numPr>
          <w:ilvl w:val="0"/>
          <w:numId w:val="2"/>
        </w:numPr>
        <w:spacing w:after="60" w:line="264"/>
        <w:jc w:val="both"/>
      </w:pPr>
      <w:r>
        <w:t xml:space="preserve">Tester si le service de criticité identifie le nœud qui a réellement été le goulot d'étranglement mondial, sans indice donné aux joueurs ni au classement.</w:t>
      </w:r>
    </w:p>
    <w:p>
      <w:pPr>
        <w:pStyle w:val="ListParagraph"/>
        <w:numPr>
          <w:ilvl w:val="0"/>
          <w:numId w:val="2"/>
        </w:numPr>
        <w:spacing w:after="60" w:line="264"/>
        <w:jc w:val="both"/>
      </w:pPr>
      <w:r>
        <w:t xml:space="preserve">Faire tourner le service de calibration prédiction/réalité sur un échantillon réel : premier couple précision/rappel du mémoire calculé sur autre chose qu'un exemple jouet.</w:t>
      </w:r>
    </w:p>
    <w:p>
      <w:pPr>
        <w:pStyle w:val="ListParagraph"/>
        <w:numPr>
          <w:ilvl w:val="0"/>
          <w:numId w:val="2"/>
        </w:numPr>
        <w:spacing w:after="60" w:line="264"/>
        <w:jc w:val="both"/>
      </w:pPr>
      <w:r>
        <w:t xml:space="preserve">Comparer a posteriori la dynamique simulée à la chronologie réelle de la crise, y compris la question de contrôle posée au débrief : à quel tour chaque consultant a-t-il reconnu la crise rejouée ?</w:t>
      </w:r>
    </w:p>
    <w:p>
      <w:pPr>
        <w:pStyle w:val="Heading2"/>
        <w:spacing w:after="130" w:before="260"/>
      </w:pPr>
      <w:r>
        <w:t xml:space="preserve">2.3 Genèse : du plan initial au protocole gelé</w:t>
      </w:r>
    </w:p>
    <w:p>
      <w:pPr>
        <w:spacing w:after="120" w:line="276"/>
        <w:jc w:val="both"/>
      </w:pPr>
      <w:r>
        <w:t xml:space="preserve">Le premier cadrage (</w:t>
      </w:r>
      <w:r>
        <w:rPr>
          <w:rFonts w:ascii="Consolas" w:cs="Consolas" w:eastAsia="Consolas" w:hAnsi="Consolas"/>
          <w:color w:val="005A96"/>
          <w:sz w:val="18"/>
          <w:szCs w:val="18"/>
        </w:rPr>
        <w:t xml:space="preserve">docs/protocole_validation_semiconducteurs.md</w:t>
      </w:r>
      <w:r>
        <w:t xml:space="preserve">, commit 754c750) proposait une fenêtre resserrée de neuf tours (T2 à T4 2021), une cadence d'un tour par semaine calendaire et une anonymisation par simple décalage de dates. Le protocole final (</w:t>
      </w:r>
      <w:r>
        <w:rPr>
          <w:rFonts w:ascii="Consolas" w:cs="Consolas" w:eastAsia="Consolas" w:hAnsi="Consolas"/>
          <w:color w:val="005A96"/>
          <w:sz w:val="18"/>
          <w:szCs w:val="18"/>
        </w:rPr>
        <w:t xml:space="preserve">projects/simu_semiconducteurs/PROTOCOLE.md</w:t>
      </w:r>
      <w:r>
        <w:t xml:space="preserve">) a étendu la fenêtre à 18 tours (septembre 2020 à février 2022) pour capter la baseline pré-crise et la décrue (nécessaires aux hypothèses HA1 et HA6), doublé la cadence à deux tours par jour pour tenir en neuf jours ouvrés, et remplacé l'anonymisation par une couverture narrative complète : entreprises renommées, programme spatial fictif, personnages récurrents. Les valeurs et magnitudes des séries réelles sont conservées à l'identique ; seul l'habillage identifiant change.</w:t>
      </w:r>
    </w:p>
    <w:p>
      <w:pPr>
        <w:spacing w:after="120" w:line="276"/>
        <w:jc w:val="both"/>
      </w:pPr>
      <w:r>
        <w:t xml:space="preserve">Cette évolution répond à un risque précis : si les consultants reconnaissent la crise, ils peuvent réciter un souvenir de presse au lieu de déclarer un jugement en aveugle. La couverture narrative retarde cette reconnaissance, et la question de contrôle du débrief (« à quel tour l'aviez-vous reconnue ? ») la mesure au lieu de la subir.</w:t>
      </w:r>
    </w:p>
    <w:p>
      <w:pPr>
        <w:pStyle w:val="Heading2"/>
        <w:spacing w:after="130" w:before="260"/>
      </w:pPr>
      <w:r>
        <w:t xml:space="preserve">2.4 Les cinq défis scientifiques adressés</w:t>
      </w:r>
    </w:p>
    <w:p>
      <w:pPr>
        <w:spacing w:after="120" w:line="276"/>
        <w:jc w:val="both"/>
      </w:pPr>
      <w:r>
        <w:t xml:space="preserve">La campagne s'inscrit dans les cinq défis ouverts identifiés dans le BST (section 2.5). Le défi 1 (justification de l'agrégation d'urgence multi-blocs face à des alternatives plus simples) et le défi 3 (valeur ajoutée du signal d'adéquation au-delà des variables brutes) reçoivent ici leur test empirique direct, notamment via la baseline nulle décrite en 4.4. Le défi 2 (fiabilité d'un Ud élicité par comparaisons par paires) est adressé par le garde-fou de cohérence CR &lt; 0.10 en conditions réelles. Le défi 4 (interprétabilité d'un score composite) est exercé au débrief via la restitution des courbes. Le défi 5 constate l'absence de précédent : aucun jumeau numérique publié ne mesure simultanément une urgence déclarée, une urgence calculée et leur écart propagé en réseau ; cette campagne est donc aussi une première méthodologique, sans référentiel d'évaluation établi.</w:t>
      </w:r>
    </w:p>
    <w:p>
      <w:pPr>
        <w:pStyle w:val="Heading1"/>
        <w:pageBreakBefore/>
        <w:spacing w:after="180" w:before="240"/>
      </w:pPr>
      <w:r>
        <w:t xml:space="preserve">3. Cadre théorique : le modèle SupplyScore</w:t>
      </w:r>
    </w:p>
    <w:p>
      <w:pPr>
        <w:spacing w:after="120" w:line="276"/>
        <w:jc w:val="both"/>
      </w:pPr>
      <w:r>
        <w:t xml:space="preserve">Toutes les formules ci-dessous sont celles du code livré (</w:t>
      </w:r>
      <w:r>
        <w:rPr>
          <w:rFonts w:ascii="Consolas" w:cs="Consolas" w:eastAsia="Consolas" w:hAnsi="Consolas"/>
          <w:color w:val="005A96"/>
          <w:sz w:val="18"/>
          <w:szCs w:val="18"/>
        </w:rPr>
        <w:t xml:space="preserve">supplyscore/core/</w:t>
      </w:r>
      <w:r>
        <w:t xml:space="preserve">, </w:t>
      </w:r>
      <w:r>
        <w:rPr>
          <w:rFonts w:ascii="Consolas" w:cs="Consolas" w:eastAsia="Consolas" w:hAnsi="Consolas"/>
          <w:color w:val="005A96"/>
          <w:sz w:val="18"/>
          <w:szCs w:val="18"/>
        </w:rPr>
        <w:t xml:space="preserve">supplyscore/graph/</w:t>
      </w:r>
      <w:r>
        <w:t xml:space="preserve">, </w:t>
      </w:r>
      <w:r>
        <w:rPr>
          <w:rFonts w:ascii="Consolas" w:cs="Consolas" w:eastAsia="Consolas" w:hAnsi="Consolas"/>
          <w:color w:val="005A96"/>
          <w:sz w:val="18"/>
          <w:szCs w:val="18"/>
        </w:rPr>
        <w:t xml:space="preserve">supplyscore/services/</w:t>
      </w:r>
      <w:r>
        <w:t xml:space="preserve">) ; les paramètres cités sont les valeurs par défaut effectivement utilisées par la campagne.</w:t>
      </w:r>
    </w:p>
    <w:p>
      <w:pPr>
        <w:pStyle w:val="Heading2"/>
        <w:spacing w:after="130" w:before="260"/>
      </w:pPr>
      <w:r>
        <w:t xml:space="preserve">3.1 Architecture à trois couches</w:t>
      </w:r>
    </w:p>
    <w:p>
      <w:pPr>
        <w:spacing w:after="120" w:line="276"/>
        <w:jc w:val="both"/>
      </w:pPr>
      <w:r>
        <w:t xml:space="preserve">Le modèle superpose trois couches. La couche déclarative recueille Ud auprès de l'humain. La couche physique calcule Ur depuis les KPIs du jumeau numérique. La couche d'adéquation compare les deux, produit le score A et les signaux F et H, puis propage l'ensemble sur le graphe de la chaîne. La campagne HÉLIOS instrumente précisément la frontière entre ces couches : Ud vient de huit humains, Ur de données réelles, et l'expérience mesure si leur écart contient de l'information exploitable.</w:t>
      </w:r>
    </w:p>
    <w:p>
      <w:pPr>
        <w:pStyle w:val="Heading2"/>
        <w:spacing w:after="130" w:before="260"/>
      </w:pPr>
      <w:r>
        <w:t xml:space="preserve">3.2 Urgence déclarée Ud : questionnaire AHP</w:t>
      </w:r>
    </w:p>
    <w:p>
      <w:pPr>
        <w:spacing w:after="120" w:line="276"/>
        <w:jc w:val="both"/>
      </w:pPr>
      <w:r>
        <w:t xml:space="preserve">Le questionnaire hebdomadaire (</w:t>
      </w:r>
      <w:r>
        <w:rPr>
          <w:rFonts w:ascii="Consolas" w:cs="Consolas" w:eastAsia="Consolas" w:hAnsi="Consolas"/>
          <w:color w:val="005A96"/>
          <w:sz w:val="18"/>
          <w:szCs w:val="18"/>
        </w:rPr>
        <w:t xml:space="preserve">core/ahp.py</w:t>
      </w:r>
      <w:r>
        <w:t xml:space="preserve">) applique l'Analytic Hierarchy Process de Saaty à quatre critères : impact opérationnel, fenêtre temporelle, dépendances aval, récupérabilité. Le répondant compare les critères deux à deux sur l'échelle de Saaty (1 à 9 et réciproques), ce qui donne une matrice réciproque positive dont on extrait le vecteur de priorités (normalisation des colonnes puis moyenne des lignes). Il note ensuite chaque critère sur [1, 9] ; l'urgence déclarée est la moyenne des notes pondérée par les priorités, ramenée sur [0, 1].</w:t>
      </w:r>
    </w:p>
    <w:p>
      <w:pPr>
        <w:spacing w:after="120" w:line="276"/>
        <w:jc w:val="both"/>
      </w:pPr>
      <w:r>
        <w:t xml:space="preserve">La cohérence des jugements est contrôlée par le ratio de cohérence CR = CI / RI, avec CI = (λmax − n) / (n − 1) et RI l'indice aléatoire de Saaty (0.90 pour n = 4). Le seuil est le seuil classique : </w:t>
      </w:r>
      <w:r>
        <w:rPr>
          <w:b/>
          <w:bCs/>
        </w:rPr>
        <w:t xml:space="preserve">CR &lt; 0.10</w:t>
      </w:r>
      <w:r>
        <w:t xml:space="preserve">. L'outil refuse un questionnaire incohérent et guide le répondant vers la comparaison la plus contradictoire ; après deux tentatives infructueuses, la règle de report du protocole s'applique (reprise de la déclaration précédente, tracée et exclue des analyses de réactivité).</w:t>
      </w:r>
    </w:p>
    <w:p>
      <w:pPr>
        <w:pStyle w:val="Heading2"/>
        <w:spacing w:after="130" w:before="260"/>
      </w:pPr>
      <w:r>
        <w:t xml:space="preserve">3.3 Urgence réelle locale : six blocs agrégés par OU probabiliste</w:t>
      </w:r>
    </w:p>
    <w:p>
      <w:pPr>
        <w:spacing w:after="120" w:line="276"/>
        <w:jc w:val="both"/>
      </w:pPr>
      <w:r>
        <w:t xml:space="preserve">Le modèle </w:t>
      </w:r>
      <w:r>
        <w:rPr>
          <w:rFonts w:ascii="Consolas" w:cs="Consolas" w:eastAsia="Consolas" w:hAnsi="Consolas"/>
          <w:color w:val="005A96"/>
          <w:sz w:val="18"/>
          <w:szCs w:val="18"/>
        </w:rPr>
        <w:t xml:space="preserve">core/ur_model.py</w:t>
      </w:r>
      <w:r>
        <w:t xml:space="preserve"> calcule six urgences partielles dans [0, 1], une par bloc de KPIs ; un bloc dont les KPIs manquent renvoie None et il est simplement ignoré de l'agrégation :</w:t>
      </w:r>
    </w:p>
    <w:p>
      <w:pPr>
        <w:pStyle w:val="ListParagraph"/>
        <w:numPr>
          <w:ilvl w:val="0"/>
          <w:numId w:val="3"/>
        </w:numPr>
        <w:spacing w:after="60" w:line="264"/>
        <w:jc w:val="both"/>
      </w:pPr>
      <w:r>
        <w:rPr>
          <w:b/>
          <w:bCs/>
        </w:rPr>
        <w:t xml:space="preserve">temps : </w:t>
      </w:r>
      <w:r>
        <w:t xml:space="preserve">probabilité de retard P(L &gt; marge restante) pour un lead time L suivant une loi normale (écart-type fourni, sinon 0.25·μ). En présence d'un jalon actif M*, l'échéance vient du jalon et le socle probabiliste est modulé par l'écart entre avancement théorique et avancement réel : u = clip(u_base + 0.5·max(r, 0) − 0.2·max(−r, 0)), où r est le retard d'avancement. Un jalon dépassé épingle u_time à 1 (retard avéré).</w:t>
      </w:r>
    </w:p>
    <w:p>
      <w:pPr>
        <w:pStyle w:val="ListParagraph"/>
        <w:numPr>
          <w:ilvl w:val="0"/>
          <w:numId w:val="3"/>
        </w:numPr>
        <w:spacing w:after="60" w:line="264"/>
        <w:jc w:val="both"/>
      </w:pPr>
      <w:r>
        <w:rPr>
          <w:b/>
          <w:bCs/>
        </w:rPr>
        <w:t xml:space="preserve">capacité : </w:t>
      </w:r>
      <w:r>
        <w:t xml:space="preserve">combinaison pondérée (0.4, 0.3, 0.3, renormalisée sur les termes disponibles) de la saturation volume, de la saturation poids et du déficit de flux [(demande − flux servi) / demande]+.</w:t>
      </w:r>
    </w:p>
    <w:p>
      <w:pPr>
        <w:pStyle w:val="ListParagraph"/>
        <w:numPr>
          <w:ilvl w:val="0"/>
          <w:numId w:val="3"/>
        </w:numPr>
        <w:spacing w:after="60" w:line="264"/>
        <w:jc w:val="both"/>
      </w:pPr>
      <w:r>
        <w:rPr>
          <w:b/>
          <w:bCs/>
        </w:rPr>
        <w:t xml:space="preserve">performance : </w:t>
      </w:r>
      <w:r>
        <w:t xml:space="preserve">1 − OEE (produit disponibilité × performance × qualité).</w:t>
      </w:r>
    </w:p>
    <w:p>
      <w:pPr>
        <w:pStyle w:val="ListParagraph"/>
        <w:numPr>
          <w:ilvl w:val="0"/>
          <w:numId w:val="3"/>
        </w:numPr>
        <w:spacing w:after="60" w:line="264"/>
        <w:jc w:val="both"/>
      </w:pPr>
      <w:r>
        <w:rPr>
          <w:b/>
          <w:bCs/>
        </w:rPr>
        <w:t xml:space="preserve">risque : </w:t>
      </w:r>
      <w:r>
        <w:t xml:space="preserve">noyau 1 − exp(−p·t_récup·sévérité / T_ref) composé en OU probabiliste avec les expositions environnementale et politique : u = 1 − (1 − noyau)(1 − env)(1 − pol).</w:t>
      </w:r>
    </w:p>
    <w:p>
      <w:pPr>
        <w:pStyle w:val="ListParagraph"/>
        <w:numPr>
          <w:ilvl w:val="0"/>
          <w:numId w:val="3"/>
        </w:numPr>
        <w:spacing w:after="60" w:line="264"/>
        <w:jc w:val="both"/>
      </w:pPr>
      <w:r>
        <w:rPr>
          <w:b/>
          <w:bCs/>
        </w:rPr>
        <w:t xml:space="preserve">coût : </w:t>
      </w:r>
      <w:r>
        <w:t xml:space="preserve">combinaison pondérée (0.5, 0.3, 0.2) de la dérive opérationnelle (coût − nominal)/nominal, du multiplicateur tarifaire [tarif − 1]+ et du coût de stockage normalisé.</w:t>
      </w:r>
    </w:p>
    <w:p>
      <w:pPr>
        <w:pStyle w:val="ListParagraph"/>
        <w:numPr>
          <w:ilvl w:val="0"/>
          <w:numId w:val="3"/>
        </w:numPr>
        <w:spacing w:after="60" w:line="264"/>
        <w:jc w:val="both"/>
      </w:pPr>
      <w:r>
        <w:rPr>
          <w:b/>
          <w:bCs/>
        </w:rPr>
        <w:t xml:space="preserve">CO2 : </w:t>
      </w:r>
      <w:r>
        <w:t xml:space="preserve">dépassement de la cible d'émissions normalisé par l'écart cible-maximum (plat dans ce scénario, comme documenté au plan : aucun signal artificiel n'est forcé).</w:t>
      </w:r>
    </w:p>
    <w:p>
      <w:pPr>
        <w:spacing w:after="120" w:line="276"/>
        <w:jc w:val="both"/>
      </w:pPr>
      <w:r>
        <w:t xml:space="preserve">L'agrégation locale est un OU probabiliste pondéré :</w:t>
      </w:r>
    </w:p>
    <w:p>
      <w:pPr>
        <w:spacing w:after="140" w:before="60"/>
        <w:jc w:val="center"/>
      </w:pPr>
      <w:r>
        <w:rPr>
          <w:rFonts w:ascii="Cambria Math" w:cs="Cambria Math" w:eastAsia="Cambria Math" w:hAnsi="Cambria Math"/>
          <w:i/>
          <w:iCs/>
          <w:color w:val="1F3050"/>
          <w:sz w:val="22"/>
          <w:szCs w:val="22"/>
        </w:rPr>
        <w:t xml:space="preserve">Ur_local = 1 − Π_m (1 − u_m)^ω_m,  ω_m = 1 par défaut</w:t>
      </w:r>
    </w:p>
    <w:p>
      <w:pPr>
        <w:spacing w:after="120" w:line="276"/>
        <w:jc w:val="both"/>
      </w:pPr>
      <w:r>
        <w:t xml:space="preserve">Cette forme est le cœur de la réponse au défi 1 : un seul bloc saturé suffit à rendre le nœud urgent (une moyenne l'aurait dilué), et un bloc manquant n'invente pas d'information. Les statuts prévalent sur le calcul : une tâche DONE force Ur_local à 0, une tâche ABANDONED le force à 1.</w:t>
      </w:r>
    </w:p>
    <w:p>
      <w:pPr>
        <w:pStyle w:val="Heading2"/>
        <w:spacing w:after="130" w:before="260"/>
      </w:pPr>
      <w:r>
        <w:t xml:space="preserve">3.4 Propagation sur le graphe</w:t>
      </w:r>
    </w:p>
    <w:p>
      <w:pPr>
        <w:spacing w:after="120" w:line="276"/>
        <w:jc w:val="both"/>
      </w:pPr>
      <w:r>
        <w:t xml:space="preserve">Le réseau est un graphe orienté acyclique (</w:t>
      </w:r>
      <w:r>
        <w:rPr>
          <w:rFonts w:ascii="Consolas" w:cs="Consolas" w:eastAsia="Consolas" w:hAnsi="Consolas"/>
          <w:color w:val="005A96"/>
          <w:sz w:val="18"/>
          <w:szCs w:val="18"/>
        </w:rPr>
        <w:t xml:space="preserve">graph/propagation.py</w:t>
      </w:r>
      <w:r>
        <w:t xml:space="preserve">). Les deux signaux se propagent en sens inverse l'un de l'autre, chaque arc portant deux coefficients : γ atténue le besoin qui descend, β amplifie le risque qui monte.</w:t>
      </w:r>
    </w:p>
    <w:p>
      <w:pPr>
        <w:spacing w:after="140" w:before="60"/>
        <w:jc w:val="center"/>
      </w:pPr>
      <w:r>
        <w:rPr>
          <w:rFonts w:ascii="Cambria Math" w:cs="Cambria Math" w:eastAsia="Cambria Math" w:hAnsi="Cambria Math"/>
          <w:i/>
          <w:iCs/>
          <w:color w:val="1F3050"/>
          <w:sz w:val="22"/>
          <w:szCs w:val="22"/>
        </w:rPr>
        <w:t xml:space="preserve">Ud_i = 1 − (1 − Ud_loc,i) · Π_k∈Succ(i) (1 − γ_ik · Ud_k)   (descendante, client vers fournisseurs)</w:t>
      </w:r>
    </w:p>
    <w:p>
      <w:pPr>
        <w:spacing w:after="140" w:before="60"/>
        <w:jc w:val="center"/>
      </w:pPr>
      <w:r>
        <w:rPr>
          <w:rFonts w:ascii="Cambria Math" w:cs="Cambria Math" w:eastAsia="Cambria Math" w:hAnsi="Cambria Math"/>
          <w:i/>
          <w:iCs/>
          <w:color w:val="1F3050"/>
          <w:sz w:val="22"/>
          <w:szCs w:val="22"/>
        </w:rPr>
        <w:t xml:space="preserve">Ur_i = 1 − (1 − Ur_loc,i) · Π_j∈Pred(i) (1 − β_ji · Ur_j)   (montante, fournisseurs vers client)</w:t>
      </w:r>
    </w:p>
    <w:p>
      <w:pPr>
        <w:spacing w:after="120" w:line="276"/>
        <w:jc w:val="both"/>
      </w:pPr>
      <w:r>
        <w:t xml:space="preserve">Les arcs de secours (ArcKind.BACKUP) sont volontairement inertes : ils documentent une alternative sans influencer ni Ud, ni Ur, ni la simulation de choc. Dans le scénario, l'arc Meridian vers CompoDis est de ce type : le « plan B » que tout le monde invoque et qui ne produit rien, conformément à la réalité de 2021 (GlobalFoundries affichait complet jusqu'à mi-2023).</w:t>
      </w:r>
    </w:p>
    <w:p>
      <w:pPr>
        <w:pStyle w:val="Heading2"/>
        <w:spacing w:after="130" w:before="260"/>
      </w:pPr>
      <w:r>
        <w:t xml:space="preserve">3.5 Score d'adéquation : pénalité asymétrique de type Prospect Theory</w:t>
      </w:r>
    </w:p>
    <w:p>
      <w:pPr>
        <w:spacing w:after="120" w:line="276"/>
        <w:jc w:val="both"/>
      </w:pPr>
      <w:r>
        <w:t xml:space="preserve">Le moteur </w:t>
      </w:r>
      <w:r>
        <w:rPr>
          <w:rFonts w:ascii="Consolas" w:cs="Consolas" w:eastAsia="Consolas" w:hAnsi="Consolas"/>
          <w:color w:val="005A96"/>
          <w:sz w:val="18"/>
          <w:szCs w:val="18"/>
        </w:rPr>
        <w:t xml:space="preserve">core/adequation.py</w:t>
      </w:r>
      <w:r>
        <w:t xml:space="preserve"> distingue deux pathologies : la fausse urgence F = [Ud − Ur]+ (panique injustifiée) et le risque caché H = [Ur − Ud]+ (danger invisible). Le score les pénalise de façon asymétrique :</w:t>
      </w:r>
    </w:p>
    <w:p>
      <w:pPr>
        <w:spacing w:after="140" w:before="60"/>
        <w:jc w:val="center"/>
      </w:pPr>
      <w:r>
        <w:rPr>
          <w:rFonts w:ascii="Cambria Math" w:cs="Cambria Math" w:eastAsia="Cambria Math" w:hAnsi="Cambria Math"/>
          <w:i/>
          <w:iCs/>
          <w:color w:val="1F3050"/>
          <w:sz w:val="22"/>
          <w:szCs w:val="22"/>
        </w:rPr>
        <w:t xml:space="preserve">pénalité = λ_under · H^α + λ_over · F^α,   λ_under = 2.25,  λ_over = 1.0,  α = 0.88</w:t>
      </w:r>
    </w:p>
    <w:p>
      <w:pPr>
        <w:spacing w:after="140" w:before="60"/>
        <w:jc w:val="center"/>
      </w:pPr>
      <w:r>
        <w:rPr>
          <w:rFonts w:ascii="Cambria Math" w:cs="Cambria Math" w:eastAsia="Cambria Math" w:hAnsi="Cambria Math"/>
          <w:i/>
          <w:iCs/>
          <w:color w:val="1F3050"/>
          <w:sz w:val="22"/>
          <w:szCs w:val="22"/>
        </w:rPr>
        <w:t xml:space="preserve">A = 100 · (exp(−pénalité) − exp(−max(λ))) / (1 − exp(−max(λ)))  ∈ [0, 100]</w:t>
      </w:r>
    </w:p>
    <w:p>
      <w:pPr>
        <w:spacing w:after="120" w:line="276"/>
        <w:jc w:val="both"/>
      </w:pPr>
      <w:r>
        <w:t xml:space="preserve">La règle de gouvernance λ_under &gt; λ_over encode que le danger invisible est pire que la panique : une équipe qui sur-réagit gaspille des ressources, une équipe qui sous-déclare découvre la rupture trop tard. Le rapport 2.25 et la courbure 0.88 reprennent les coefficients d'aversion à la perte mesurés par Kahneman et Tversky (Prospect Theory, 1992). L'hypothèse HA6 teste précisément si ce choix est justifié : si la sur-déclaration se corrige seule, la pénalité asymétrique devra être recalibrée.</w:t>
      </w:r>
    </w:p>
    <w:p>
      <w:pPr>
        <w:pStyle w:val="Heading2"/>
        <w:spacing w:after="130" w:before="260"/>
      </w:pPr>
      <w:r>
        <w:t xml:space="preserve">3.6 Criticité structurelle par simulation de choc</w:t>
      </w:r>
    </w:p>
    <w:p>
      <w:pPr>
        <w:spacing w:after="120" w:line="276"/>
        <w:jc w:val="both"/>
      </w:pPr>
      <w:r>
        <w:t xml:space="preserve">Le service </w:t>
      </w:r>
      <w:r>
        <w:rPr>
          <w:rFonts w:ascii="Consolas" w:cs="Consolas" w:eastAsia="Consolas" w:hAnsi="Consolas"/>
          <w:color w:val="005A96"/>
          <w:sz w:val="18"/>
          <w:szCs w:val="18"/>
        </w:rPr>
        <w:t xml:space="preserve">services/criticite.py</w:t>
      </w:r>
      <w:r>
        <w:t xml:space="preserve"> répond à la question « quel nœud ferait le plus mal s'il tombait ? ». Pour chaque nœud actif, il simule le pire choc local (Ur_local porté à 1.0), re-propage tout le graphe en calcul pur (aucune écriture), et mesure delta_ur_final, l'augmentation du Ur du client final (rang 0). Le classement décroissant de ce delta donne l'indice de criticité. Un comportement documenté du service importe pour l'analyse : un nœud déjà saturé (Ur_local à 1.0) donne un choc à vide et un delta nul, son risque étant déjà réalisé dans la référence. En crise généralisée, l'indice dégénère donc ; la règle d'exclusion des tours saturés du test HA3 en découle (section 9).</w:t>
      </w:r>
    </w:p>
    <w:p>
      <w:pPr>
        <w:pStyle w:val="Heading2"/>
        <w:spacing w:after="130" w:before="260"/>
      </w:pPr>
      <w:r>
        <w:t xml:space="preserve">3.7 Événements calibrés et érosion hebdomadaire</w:t>
      </w:r>
    </w:p>
    <w:p>
      <w:pPr>
        <w:spacing w:after="120" w:line="276"/>
        <w:jc w:val="both"/>
      </w:pPr>
      <w:r>
        <w:t xml:space="preserve">Le moteur d'événements (</w:t>
      </w:r>
      <w:r>
        <w:rPr>
          <w:rFonts w:ascii="Consolas" w:cs="Consolas" w:eastAsia="Consolas" w:hAnsi="Consolas"/>
          <w:color w:val="005A96"/>
          <w:sz w:val="18"/>
          <w:szCs w:val="18"/>
        </w:rPr>
        <w:t xml:space="preserve">domain/events.py</w:t>
      </w:r>
      <w:r>
        <w:t xml:space="preserve">, </w:t>
      </w:r>
      <w:r>
        <w:rPr>
          <w:rFonts w:ascii="Consolas" w:cs="Consolas" w:eastAsia="Consolas" w:hAnsi="Consolas"/>
          <w:color w:val="005A96"/>
          <w:sz w:val="18"/>
          <w:szCs w:val="18"/>
        </w:rPr>
        <w:t xml:space="preserve">services/events.py</w:t>
      </w:r>
      <w:r>
        <w:t xml:space="preserve">) définit quatorze types d'événements supply chain à impact calibré, dont sept sont utilisés par le scénario (pic_demande, retard_fournisseur, accident, rupture_matiere, perte_capacite, perturbation_transport, hausse_tarif). Trois opérateurs transforment un événement en mutations de KPIs auditables : la révision bayésienne Beta-Bernoulli des probabilités de défaillance (« cet événement équivaut à observer k défaillances sur n essais », prior pesant 26 pseudo-observations, bornes [1e-4, 0.99]), le lissage exponentiel des observations continues, et l'écriture directe des faits signés (un nouveau tarif). Certains impacts fonctionnent en cliquet (maximum de l'ancien et du nouveau niveau) pour les expositions qui ne redescendent pas spontanément. L'érosion hebdomadaire (</w:t>
      </w:r>
      <w:r>
        <w:rPr>
          <w:rFonts w:ascii="Consolas" w:cs="Consolas" w:eastAsia="Consolas" w:hAnsi="Consolas"/>
          <w:color w:val="005A96"/>
          <w:sz w:val="18"/>
          <w:szCs w:val="18"/>
        </w:rPr>
        <w:t xml:space="preserve">apply_weekly_decay</w:t>
      </w:r>
      <w:r>
        <w:t xml:space="preserve">) fait refluer les effets des événements passés à chaque tour : le facilitateur la déclenche en début d'injection, ce qui matérialise « une semaine s'est écoulée sans nouvel incident ».</w:t>
      </w:r>
    </w:p>
    <w:p>
      <w:pPr>
        <w:pStyle w:val="Heading2"/>
        <w:spacing w:after="130" w:before="260"/>
      </w:pPr>
      <w:r>
        <w:t xml:space="preserve">3.8 Calibration prédiction/réalité</w:t>
      </w:r>
    </w:p>
    <w:p>
      <w:pPr>
        <w:spacing w:after="120" w:line="276"/>
        <w:jc w:val="both"/>
      </w:pPr>
      <w:r>
        <w:t xml:space="preserve">Le service </w:t>
      </w:r>
      <w:r>
        <w:rPr>
          <w:rFonts w:ascii="Consolas" w:cs="Consolas" w:eastAsia="Consolas" w:hAnsi="Consolas"/>
          <w:color w:val="005A96"/>
          <w:sz w:val="18"/>
          <w:szCs w:val="18"/>
        </w:rPr>
        <w:t xml:space="preserve">services/calibration.py</w:t>
      </w:r>
      <w:r>
        <w:t xml:space="preserve"> confronte les risques cachés H persistés semaine après semaine aux issues défavorables réellement constatées ensuite. Un point d'observation est un couple (nœud, semaine ISO) ; une issue défavorable dans la fenêtre [S+1, S+4] est l'un de trois constats : un jalon raté (deadline dans la fenêtre, statut abandonné ou actif avec échéance dépassée), un nœud abandonné, ou un événement journalisé de gravité critique ou défaut. Il en tire matrice de confusion, précision, rappel et courbe de calibration. Une limite est assumée et documentée : pour les semaines récentes, la fenêtre déborde sur le futur (censure à droite), le taux observé est donc une borne inférieure.</w:t>
      </w:r>
    </w:p>
    <w:p>
      <w:pPr>
        <w:pStyle w:val="Heading2"/>
        <w:spacing w:after="130" w:before="260"/>
      </w:pPr>
      <w:r>
        <w:t xml:space="preserve">3.9 Hypothèses de modélisation assumées</w:t>
      </w:r>
    </w:p>
    <w:p>
      <w:pPr>
        <w:spacing w:after="120" w:line="276"/>
        <w:jc w:val="both"/>
      </w:pPr>
      <w:r>
        <w:t xml:space="preserve">Distinctes des hypothèses testables, les hypothèses de conception suivantes sont posées et vérifiables dans le code : le réseau est un DAG (pas de boucle de rétroaction) ; les revues suivent un cycle hebdomadaire ISO strict ; l'urgence déclarée est atténuée en descendant quand le risque réel est amplifié en montant, chaque arc portant ses coefficients ; les six blocs de KPIs sont traités comme indépendants pour autoriser l'agrégation probabiliste ; les statuts de tâche imposent des règles de surcharge explicites ; et la perte cognitive est délibérément asymétrique. Ce sont des engagements de conception, pas des affirmations empiriques ; les limites qu'ils induisent sont cataloguées au BST et reprises en section 12.</w:t>
      </w:r>
    </w:p>
    <w:p>
      <w:pPr>
        <w:pStyle w:val="Heading1"/>
        <w:pageBreakBefore/>
        <w:spacing w:after="180" w:before="240"/>
      </w:pPr>
      <w:r>
        <w:t xml:space="preserve">4. Hypothèses expérimentales pré-enregistrées</w:t>
      </w:r>
    </w:p>
    <w:p>
      <w:pPr>
        <w:pStyle w:val="Heading2"/>
        <w:spacing w:after="130" w:before="260"/>
      </w:pPr>
      <w:r>
        <w:t xml:space="preserve">4.1 Le principe du pré-enregistrement</w:t>
      </w:r>
    </w:p>
    <w:p>
      <w:pPr>
        <w:spacing w:after="120" w:line="276"/>
        <w:jc w:val="both"/>
      </w:pPr>
      <w:r>
        <w:t xml:space="preserve">Le registre d'hypothèses est arrêté avant que la moindre donnée humaine n'existe, et le protocole est GELÉ au jour J5, juste avant le premier tour réel : toute modification ultérieure est consignée en annexe avec sa justification, jamais appliquée silencieusement. Les tests sont implémentés à l'avance dans </w:t>
      </w:r>
      <w:r>
        <w:rPr>
          <w:rFonts w:ascii="Consolas" w:cs="Consolas" w:eastAsia="Consolas" w:hAnsi="Consolas"/>
          <w:color w:val="005A96"/>
          <w:sz w:val="18"/>
          <w:szCs w:val="18"/>
        </w:rPr>
        <w:t xml:space="preserve">analysis/analyse_campagne.py</w:t>
      </w:r>
      <w:r>
        <w:t xml:space="preserve">, dont la docstring reproduit le registre : le verdict de chaque hypothèse est donc calculé par un code écrit avant les données, pas choisi après coup. Toute analyse hors de cette liste est étiquetée EXPLORATOIRE dans le rapport. Une reformulation est intervenue avant gel : le test HA3 a été précisé au dry run v5 (exclusion des tours saturés, comparaison entre fournisseurs profonds uniquement), pour les raisons mécaniques documentées en section 9.</w:t>
      </w:r>
    </w:p>
    <w:p>
      <w:pPr>
        <w:pStyle w:val="Heading2"/>
        <w:spacing w:after="130" w:before="260"/>
      </w:pPr>
      <w:r>
        <w:t xml:space="preserve">4.2 Les six hypothèses testables</w:t>
      </w:r>
    </w:p>
    <w:p>
      <w:pPr>
        <w:spacing w:after="120" w:line="276"/>
        <w:jc w:val="both"/>
      </w:pPr>
      <w:r>
        <w:t xml:space="preserve">Chaque hypothèse énonce un résultat observable, une prédiction chiffrée et son critère de réfutation. Elles correspondent aux hypothèses H1 à H6 du BST (section 2.4), adaptées du registre pré-enregistré HA1 à HA6 de la campagne.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700"/>
        <w:gridCol w:w="2400"/>
        <w:gridCol w:w="3600"/>
        <w:gridCol w:w="2326"/>
      </w:tblGrid>
      <w:tr>
        <w:trPr>
          <w:tblHeader/>
        </w:trPr>
        <w:tc>
          <w:tcPr>
            <w:tcW w:type="dxa" w:w="700"/>
            <w:shd w:fill="0072BC" w:val="clear"/>
            <w:tcMar>
              <w:top w:type="dxa" w:w="50"/>
              <w:left w:type="dxa" w:w="90"/>
              <w:bottom w:type="dxa" w:w="50"/>
              <w:right w:type="dxa" w:w="90"/>
            </w:tcMar>
            <w:vAlign w:val="center"/>
          </w:tcPr>
          <w:p>
            <w:pPr>
              <w:spacing w:after="20"/>
              <w:jc w:val="left"/>
            </w:pPr>
            <w:r>
              <w:rPr>
                <w:b/>
                <w:bCs/>
                <w:color w:val="FFFFFF"/>
                <w:sz w:val="17"/>
                <w:szCs w:val="17"/>
              </w:rPr>
              <w:t xml:space="preserve">#</w:t>
            </w:r>
          </w:p>
        </w:tc>
        <w:tc>
          <w:tcPr>
            <w:tcW w:type="dxa" w:w="2400"/>
            <w:shd w:fill="0072BC" w:val="clear"/>
            <w:tcMar>
              <w:top w:type="dxa" w:w="50"/>
              <w:left w:type="dxa" w:w="90"/>
              <w:bottom w:type="dxa" w:w="50"/>
              <w:right w:type="dxa" w:w="90"/>
            </w:tcMar>
            <w:vAlign w:val="center"/>
          </w:tcPr>
          <w:p>
            <w:pPr>
              <w:spacing w:after="20"/>
              <w:jc w:val="left"/>
            </w:pPr>
            <w:r>
              <w:rPr>
                <w:b/>
                <w:bCs/>
                <w:color w:val="FFFFFF"/>
                <w:sz w:val="17"/>
                <w:szCs w:val="17"/>
              </w:rPr>
              <w:t xml:space="preserve">Hypothèse</w:t>
            </w:r>
          </w:p>
        </w:tc>
        <w:tc>
          <w:tcPr>
            <w:tcW w:type="dxa" w:w="3600"/>
            <w:shd w:fill="0072BC" w:val="clear"/>
            <w:tcMar>
              <w:top w:type="dxa" w:w="50"/>
              <w:left w:type="dxa" w:w="90"/>
              <w:bottom w:type="dxa" w:w="50"/>
              <w:right w:type="dxa" w:w="90"/>
            </w:tcMar>
            <w:vAlign w:val="center"/>
          </w:tcPr>
          <w:p>
            <w:pPr>
              <w:spacing w:after="20"/>
              <w:jc w:val="left"/>
            </w:pPr>
            <w:r>
              <w:rPr>
                <w:b/>
                <w:bCs/>
                <w:color w:val="FFFFFF"/>
                <w:sz w:val="17"/>
                <w:szCs w:val="17"/>
              </w:rPr>
              <w:t xml:space="preserve">Prédiction chiffrée</w:t>
            </w:r>
          </w:p>
        </w:tc>
        <w:tc>
          <w:tcPr>
            <w:tcW w:type="dxa" w:w="2326"/>
            <w:shd w:fill="0072BC" w:val="clear"/>
            <w:tcMar>
              <w:top w:type="dxa" w:w="50"/>
              <w:left w:type="dxa" w:w="90"/>
              <w:bottom w:type="dxa" w:w="50"/>
              <w:right w:type="dxa" w:w="90"/>
            </w:tcMar>
            <w:vAlign w:val="center"/>
          </w:tcPr>
          <w:p>
            <w:pPr>
              <w:spacing w:after="20"/>
              <w:jc w:val="left"/>
            </w:pPr>
            <w:r>
              <w:rPr>
                <w:b/>
                <w:bCs/>
                <w:color w:val="FFFFFF"/>
                <w:sz w:val="17"/>
                <w:szCs w:val="17"/>
              </w:rPr>
              <w:t xml:space="preserve">Métrique</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HA1</w:t>
            </w:r>
          </w:p>
        </w:tc>
        <w:tc>
          <w:tcPr>
            <w:tcW w:type="dxa" w:w="2400"/>
            <w:tcMar>
              <w:top w:type="dxa" w:w="50"/>
              <w:left w:type="dxa" w:w="90"/>
              <w:bottom w:type="dxa" w:w="50"/>
              <w:right w:type="dxa" w:w="90"/>
            </w:tcMar>
            <w:vAlign w:val="center"/>
          </w:tcPr>
          <w:p>
            <w:pPr>
              <w:spacing w:after="20"/>
              <w:jc w:val="left"/>
            </w:pPr>
            <w:r>
              <w:rPr>
                <w:color w:val="1F3050"/>
                <w:sz w:val="17"/>
                <w:szCs w:val="17"/>
              </w:rPr>
              <w:t xml:space="preserve">Latence cognitive : le Ud suit le Ur avec au moins un cycle de retard ; l'opérateur enregistre la dégradation après le signal physique, pas avec lui.</w:t>
            </w:r>
          </w:p>
        </w:tc>
        <w:tc>
          <w:tcPr>
            <w:tcW w:type="dxa" w:w="3600"/>
            <w:tcMar>
              <w:top w:type="dxa" w:w="50"/>
              <w:left w:type="dxa" w:w="90"/>
              <w:bottom w:type="dxa" w:w="50"/>
              <w:right w:type="dxa" w:w="90"/>
            </w:tcMar>
            <w:vAlign w:val="center"/>
          </w:tcPr>
          <w:p>
            <w:pPr>
              <w:spacing w:after="20"/>
              <w:jc w:val="left"/>
            </w:pPr>
            <w:r>
              <w:rPr>
                <w:color w:val="1F3050"/>
                <w:sz w:val="17"/>
                <w:szCs w:val="17"/>
              </w:rPr>
              <w:t xml:space="preserve">Corrélation croisée Ud/Ur maximale à lag ≥ 1 tour pour au moins 5 nœuds sur 8.</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Spearman décalé (lags 0 à 3), bootstrap IC95</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HA2</w:t>
            </w:r>
          </w:p>
        </w:tc>
        <w:tc>
          <w:tcPr>
            <w:tcW w:type="dxa" w:w="2400"/>
            <w:shd w:fill="EDF3F9" w:val="clear"/>
            <w:tcMar>
              <w:top w:type="dxa" w:w="50"/>
              <w:left w:type="dxa" w:w="90"/>
              <w:bottom w:type="dxa" w:w="50"/>
              <w:right w:type="dxa" w:w="90"/>
            </w:tcMar>
            <w:vAlign w:val="center"/>
          </w:tcPr>
          <w:p>
            <w:pPr>
              <w:spacing w:after="20"/>
              <w:jc w:val="left"/>
            </w:pPr>
            <w:r>
              <w:rPr>
                <w:color w:val="1F3050"/>
                <w:sz w:val="17"/>
                <w:szCs w:val="17"/>
              </w:rPr>
              <w:t xml:space="preserve">Détection précoce : le risque caché H dépasse le bruit sur le nœud d'origine de la crise plusieurs semaines avant que la rupture ne soit publiquement visible.</w:t>
            </w:r>
          </w:p>
        </w:tc>
        <w:tc>
          <w:tcPr>
            <w:tcW w:type="dxa" w:w="3600"/>
            <w:shd w:fill="EDF3F9" w:val="clear"/>
            <w:tcMar>
              <w:top w:type="dxa" w:w="50"/>
              <w:left w:type="dxa" w:w="90"/>
              <w:bottom w:type="dxa" w:w="50"/>
              <w:right w:type="dxa" w:w="90"/>
            </w:tcMar>
            <w:vAlign w:val="center"/>
          </w:tcPr>
          <w:p>
            <w:pPr>
              <w:spacing w:after="20"/>
              <w:jc w:val="left"/>
            </w:pPr>
            <w:r>
              <w:rPr>
                <w:color w:val="1F3050"/>
                <w:sz w:val="17"/>
                <w:szCs w:val="17"/>
              </w:rPr>
              <w:t xml:space="preserve">H &gt; 0.3 sur NovaFab à au moins un tour de T6 à T12 (avant le bullwhip de T13).</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Série H(t) par nœud</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HA3</w:t>
            </w:r>
          </w:p>
        </w:tc>
        <w:tc>
          <w:tcPr>
            <w:tcW w:type="dxa" w:w="2400"/>
            <w:tcMar>
              <w:top w:type="dxa" w:w="50"/>
              <w:left w:type="dxa" w:w="90"/>
              <w:bottom w:type="dxa" w:w="50"/>
              <w:right w:type="dxa" w:w="90"/>
            </w:tcMar>
            <w:vAlign w:val="center"/>
          </w:tcPr>
          <w:p>
            <w:pPr>
              <w:spacing w:after="20"/>
              <w:jc w:val="left"/>
            </w:pPr>
            <w:r>
              <w:rPr>
                <w:color w:val="1F3050"/>
                <w:sz w:val="17"/>
                <w:szCs w:val="17"/>
              </w:rPr>
              <w:t xml:space="preserve">Criticité structurelle : la simulation systématique de choc classe le vrai goulot en tête, par impact sur le client final, parmi les fournisseurs profonds.</w:t>
            </w:r>
          </w:p>
        </w:tc>
        <w:tc>
          <w:tcPr>
            <w:tcW w:type="dxa" w:w="3600"/>
            <w:tcMar>
              <w:top w:type="dxa" w:w="50"/>
              <w:left w:type="dxa" w:w="90"/>
              <w:bottom w:type="dxa" w:w="50"/>
              <w:right w:type="dxa" w:w="90"/>
            </w:tcMar>
            <w:vAlign w:val="center"/>
          </w:tcPr>
          <w:p>
            <w:pPr>
              <w:spacing w:after="20"/>
              <w:jc w:val="left"/>
            </w:pPr>
            <w:r>
              <w:rPr>
                <w:color w:val="1F3050"/>
                <w:sz w:val="17"/>
                <w:szCs w:val="17"/>
              </w:rPr>
              <w:t xml:space="preserve">NovaFab top-1 par delta_ur_final parmi les fournisseurs de rang ≥ 4 (NovaFab, Meridian, SilPure) sur au moins 80 % des tours informatifs (réseau non saturé).</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Rang par tour ; tours saturés exclus</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HA4</w:t>
            </w:r>
          </w:p>
        </w:tc>
        <w:tc>
          <w:tcPr>
            <w:tcW w:type="dxa" w:w="2400"/>
            <w:shd w:fill="EDF3F9" w:val="clear"/>
            <w:tcMar>
              <w:top w:type="dxa" w:w="50"/>
              <w:left w:type="dxa" w:w="90"/>
              <w:bottom w:type="dxa" w:w="50"/>
              <w:right w:type="dxa" w:w="90"/>
            </w:tcMar>
            <w:vAlign w:val="center"/>
          </w:tcPr>
          <w:p>
            <w:pPr>
              <w:spacing w:after="20"/>
              <w:jc w:val="left"/>
            </w:pPr>
            <w:r>
              <w:rPr>
                <w:color w:val="1F3050"/>
                <w:sz w:val="17"/>
                <w:szCs w:val="17"/>
              </w:rPr>
              <w:t xml:space="preserve">Validité prédictive : le signal H prédit les issues défavorables enregistrées (jalon raté, événement critique, abandon).</w:t>
            </w:r>
          </w:p>
        </w:tc>
        <w:tc>
          <w:tcPr>
            <w:tcW w:type="dxa" w:w="3600"/>
            <w:shd w:fill="EDF3F9" w:val="clear"/>
            <w:tcMar>
              <w:top w:type="dxa" w:w="50"/>
              <w:left w:type="dxa" w:w="90"/>
              <w:bottom w:type="dxa" w:w="50"/>
              <w:right w:type="dxa" w:w="90"/>
            </w:tcMar>
            <w:vAlign w:val="center"/>
          </w:tcPr>
          <w:p>
            <w:pPr>
              <w:spacing w:after="20"/>
              <w:jc w:val="left"/>
            </w:pPr>
            <w:r>
              <w:rPr>
                <w:color w:val="1F3050"/>
                <w:sz w:val="17"/>
                <w:szCs w:val="17"/>
              </w:rPr>
              <w:t xml:space="preserve">Précision ET rappel &gt; 0.5 au seuil H ≥ 0.5, horizon de 4 tours.</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Matrice de confusion (calibration)</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HA5</w:t>
            </w:r>
          </w:p>
        </w:tc>
        <w:tc>
          <w:tcPr>
            <w:tcW w:type="dxa" w:w="2400"/>
            <w:tcMar>
              <w:top w:type="dxa" w:w="50"/>
              <w:left w:type="dxa" w:w="90"/>
              <w:bottom w:type="dxa" w:w="50"/>
              <w:right w:type="dxa" w:w="90"/>
            </w:tcMar>
            <w:vAlign w:val="center"/>
          </w:tcPr>
          <w:p>
            <w:pPr>
              <w:spacing w:after="20"/>
              <w:jc w:val="left"/>
            </w:pPr>
            <w:r>
              <w:rPr>
                <w:color w:val="1F3050"/>
                <w:sz w:val="17"/>
                <w:szCs w:val="17"/>
              </w:rPr>
              <w:t xml:space="preserve">Contagion de l'urgence : aux tours où la crise fait les gros titres, les opérateurs de nœuds non touchés élèvent quand même leur déclaration (effet de simple urgence à l'échelle du réseau).</w:t>
            </w:r>
          </w:p>
        </w:tc>
        <w:tc>
          <w:tcPr>
            <w:tcW w:type="dxa" w:w="3600"/>
            <w:tcMar>
              <w:top w:type="dxa" w:w="50"/>
              <w:left w:type="dxa" w:w="90"/>
              <w:bottom w:type="dxa" w:w="50"/>
              <w:right w:type="dxa" w:w="90"/>
            </w:tcMar>
            <w:vAlign w:val="center"/>
          </w:tcPr>
          <w:p>
            <w:pPr>
              <w:spacing w:after="20"/>
              <w:jc w:val="left"/>
            </w:pPr>
            <w:r>
              <w:rPr>
                <w:color w:val="1F3050"/>
                <w:sz w:val="17"/>
                <w:szCs w:val="17"/>
              </w:rPr>
              <w:t xml:space="preserve">ΔUd moyen des nœuds NON touchés positif et supérieur aux tours calmes, aux tours de presse T6, T7 et T13.</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ΔUd touchés vs non touchés</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HA6</w:t>
            </w:r>
          </w:p>
        </w:tc>
        <w:tc>
          <w:tcPr>
            <w:tcW w:type="dxa" w:w="2400"/>
            <w:shd w:fill="EDF3F9" w:val="clear"/>
            <w:tcMar>
              <w:top w:type="dxa" w:w="50"/>
              <w:left w:type="dxa" w:w="90"/>
              <w:bottom w:type="dxa" w:w="50"/>
              <w:right w:type="dxa" w:w="90"/>
            </w:tcMar>
            <w:vAlign w:val="center"/>
          </w:tcPr>
          <w:p>
            <w:pPr>
              <w:spacing w:after="20"/>
              <w:jc w:val="left"/>
            </w:pPr>
            <w:r>
              <w:rPr>
                <w:color w:val="1F3050"/>
                <w:sz w:val="17"/>
                <w:szCs w:val="17"/>
              </w:rPr>
              <w:t xml:space="preserve">Hystérésis de la perception : quand la situation physique s'améliore, la déclaration redescend moins vite ; la panique survit à sa cause.</w:t>
            </w:r>
          </w:p>
        </w:tc>
        <w:tc>
          <w:tcPr>
            <w:tcW w:type="dxa" w:w="3600"/>
            <w:shd w:fill="EDF3F9" w:val="clear"/>
            <w:tcMar>
              <w:top w:type="dxa" w:w="50"/>
              <w:left w:type="dxa" w:w="90"/>
              <w:bottom w:type="dxa" w:w="50"/>
              <w:right w:type="dxa" w:w="90"/>
            </w:tcMar>
            <w:vAlign w:val="center"/>
          </w:tcPr>
          <w:p>
            <w:pPr>
              <w:spacing w:after="20"/>
              <w:jc w:val="left"/>
            </w:pPr>
            <w:r>
              <w:rPr>
                <w:color w:val="1F3050"/>
                <w:sz w:val="17"/>
                <w:szCs w:val="17"/>
              </w:rPr>
              <w:t xml:space="preserve">Pente de décroissance du Ud &lt; 50 % de celle du Ur sur T17-T18.</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Pentes comparées sur la décrue</w:t>
            </w:r>
          </w:p>
        </w:tc>
      </w:tr>
    </w:tbl>
    <w:p>
      <w:pPr>
        <w:spacing w:after="160"/>
      </w:pPr>
    </w:p>
    <w:p>
      <w:pPr>
        <w:spacing w:after="120" w:line="276"/>
        <w:jc w:val="both"/>
      </w:pPr>
      <w:r>
        <w:t xml:space="preserve">L'interprétation des échecs est fixée à l'avance, elle aussi. Si HA1 et HA5 échouent, les opérateurs n'ont pas besoin de dé-biaisage et la couche d'adéquation est redondante. Si HA2 et HA4 échouent, le risque caché est une curiosité descriptive, pas une aide à la décision. Si HA3 échoue, la priorisation réseau ne peut pas être utilisée opérationnellement. Si HA6 échoue, la sur-déclaration se corrige d'elle-même et la pénalité asymétrique (λ_under = 2.25) doit être recalibrée.</w:t>
      </w:r>
    </w:p>
    <w:p>
      <w:pPr>
        <w:pStyle w:val="Heading2"/>
        <w:spacing w:after="130" w:before="260"/>
      </w:pPr>
      <w:r>
        <w:t xml:space="preserve">4.3 Hypothèses assumées et contrôles internes</w:t>
      </w:r>
    </w:p>
    <w:p>
      <w:pPr>
        <w:spacing w:after="120" w:line="276"/>
        <w:jc w:val="both"/>
      </w:pPr>
      <w:r>
        <w:t xml:space="preserve">Le registre complet distingue les hypothèses testées (HA) des hypothèses assumées et contrôles (séries HB, HC, HD), chacune avec son statut, son impact si elle est fausse et, le cas échéant, son test de sensibilité. Les contrôles matérialisés dans les artefacts de la campagne sont les suivants :</w:t>
      </w:r>
    </w:p>
    <w:p>
      <w:pPr>
        <w:pStyle w:val="ListParagraph"/>
        <w:numPr>
          <w:ilvl w:val="0"/>
          <w:numId w:val="3"/>
        </w:numPr>
        <w:spacing w:after="60" w:line="264"/>
        <w:jc w:val="both"/>
      </w:pPr>
      <w:r>
        <w:rPr>
          <w:b/>
          <w:bCs/>
        </w:rPr>
        <w:t xml:space="preserve">HC2 (budget cognitif) : </w:t>
      </w:r>
      <w:r>
        <w:t xml:space="preserve">si le questionnaire dépasse 10 minutes au tour d'entraînement T0, la cadence passe à un tour par jour et la fenêtre est tronquée à T16 ; décision pré-actée, pas improvisée.</w:t>
      </w:r>
    </w:p>
    <w:p>
      <w:pPr>
        <w:pStyle w:val="ListParagraph"/>
        <w:numPr>
          <w:ilvl w:val="0"/>
          <w:numId w:val="3"/>
        </w:numPr>
        <w:spacing w:after="60" w:line="264"/>
        <w:jc w:val="both"/>
      </w:pPr>
      <w:r>
        <w:rPr>
          <w:b/>
          <w:bCs/>
        </w:rPr>
        <w:t xml:space="preserve">HC4 (suggestibilité / placebo) : </w:t>
      </w:r>
      <w:r>
        <w:t xml:space="preserve">deux fiches à continuation alternative plausible (détente au lieu d'aggravation) sont remises à (AvioSys, T9) et (SilPure, T15) sans mention de leur nature. Si le Ud suit le placebo, la mesure reflète bien la donnée fournie et non un souvenir de la crise réelle.</w:t>
      </w:r>
    </w:p>
    <w:p>
      <w:pPr>
        <w:pStyle w:val="ListParagraph"/>
        <w:numPr>
          <w:ilvl w:val="0"/>
          <w:numId w:val="3"/>
        </w:numPr>
        <w:spacing w:after="60" w:line="264"/>
        <w:jc w:val="both"/>
      </w:pPr>
      <w:r>
        <w:rPr>
          <w:b/>
          <w:bCs/>
        </w:rPr>
        <w:t xml:space="preserve">HC5 (anti-fuite structurel) : </w:t>
      </w:r>
      <w:r>
        <w:t xml:space="preserve">le générateur de fiches ne lit que les fichiers préparés des tours ≤ N ; aucune donnée future n'est présente en mémoire au moment de générer, l'exclusion est structurelle et non une consigne.</w:t>
      </w:r>
    </w:p>
    <w:p>
      <w:pPr>
        <w:pStyle w:val="ListParagraph"/>
        <w:numPr>
          <w:ilvl w:val="0"/>
          <w:numId w:val="3"/>
        </w:numPr>
        <w:spacing w:after="60" w:line="264"/>
        <w:jc w:val="both"/>
      </w:pPr>
      <w:r>
        <w:rPr>
          <w:b/>
          <w:bCs/>
        </w:rPr>
        <w:t xml:space="preserve">HC7 (limite d'aveuglement) : </w:t>
      </w:r>
      <w:r>
        <w:t xml:space="preserve">l'interdiction d'ouvrir le tableau de bord est une règle de protocole, pas un verrou technique ; limite documentée.</w:t>
      </w:r>
    </w:p>
    <w:p>
      <w:pPr>
        <w:pStyle w:val="ListParagraph"/>
        <w:numPr>
          <w:ilvl w:val="0"/>
          <w:numId w:val="3"/>
        </w:numPr>
        <w:spacing w:after="60" w:line="264"/>
        <w:jc w:val="both"/>
      </w:pPr>
      <w:r>
        <w:rPr>
          <w:b/>
          <w:bCs/>
        </w:rPr>
        <w:t xml:space="preserve">HC9 (neutralité des fiches) : </w:t>
      </w:r>
      <w:r>
        <w:t xml:space="preserve">règle d'écriture : aucun adjectif d'intensité hors citations de presse, et les personas décrivent comment l'entreprise parle, jamais combien il faut s'inquiéter. La doctorante relit un échantillon de fiches sous cet angle au jour J4.</w:t>
      </w:r>
    </w:p>
    <w:p>
      <w:pPr>
        <w:pStyle w:val="ListParagraph"/>
        <w:numPr>
          <w:ilvl w:val="0"/>
          <w:numId w:val="3"/>
        </w:numPr>
        <w:spacing w:after="60" w:line="264"/>
        <w:jc w:val="both"/>
      </w:pPr>
      <w:r>
        <w:rPr>
          <w:b/>
          <w:bCs/>
        </w:rPr>
        <w:t xml:space="preserve">HD3 (rebasage des risques pays) : </w:t>
      </w:r>
      <w:r>
        <w:t xml:space="preserve">les indices WorldRiskIndex et WGI sont rebasés sur la bande [0, 0.10] (facteur posé comme constante, sensibilité testée à ±50 %).</w:t>
      </w:r>
    </w:p>
    <w:p>
      <w:pPr>
        <w:pStyle w:val="ListParagraph"/>
        <w:numPr>
          <w:ilvl w:val="0"/>
          <w:numId w:val="3"/>
        </w:numPr>
        <w:spacing w:after="60" w:line="264"/>
        <w:jc w:val="both"/>
      </w:pPr>
      <w:r>
        <w:rPr>
          <w:b/>
          <w:bCs/>
        </w:rPr>
        <w:t xml:space="preserve">HD5 (authenticité des données) : </w:t>
      </w:r>
      <w:r>
        <w:t xml:space="preserve">tout jeu de données tiers passe un contrôle d'authenticité avant usage ; le dataset logistique Kaggle a été écarté à ce contrôle (section 6.2).</w:t>
      </w:r>
    </w:p>
    <w:p>
      <w:pPr>
        <w:pStyle w:val="Heading2"/>
        <w:spacing w:after="130" w:before="260"/>
      </w:pPr>
      <w:r>
        <w:t xml:space="preserve">4.4 Baseline nulle</w:t>
      </w:r>
    </w:p>
    <w:p>
      <w:pPr>
        <w:spacing w:after="120" w:line="276"/>
        <w:jc w:val="both"/>
      </w:pPr>
      <w:r>
        <w:t xml:space="preserve">La valeur ajoutée du signal H se mesure contre un détecteur naïf rejoué sur les mêmes tours : « le Ur local dépasse 0.5 ». Ce détecteur d'hypothèse nulle passe par la même grille que HA4 (horizon 4 tours, mêmes incidents de référence) ; si H ne fait pas mieux que ce seuil brut, le score d'adéquation n'apporte rien (défi 3). Sur le rejeu grandeur nature, cette baseline donne précision 0.16 et rappel 0.27 (section 10).</w:t>
      </w:r>
    </w:p>
    <w:p>
      <w:pPr>
        <w:pStyle w:val="Heading1"/>
        <w:pageBreakBefore/>
        <w:spacing w:after="180" w:before="240"/>
      </w:pPr>
      <w:r>
        <w:t xml:space="preserve">5. Le scénario « Programme HÉLIOS »</w:t>
      </w:r>
    </w:p>
    <w:p>
      <w:pPr>
        <w:pStyle w:val="Heading2"/>
        <w:spacing w:after="130" w:before="260"/>
      </w:pPr>
      <w:r>
        <w:t xml:space="preserve">5.1 La couverture narrative</w:t>
      </w:r>
    </w:p>
    <w:p>
      <w:pPr>
        <w:spacing w:after="120" w:line="276"/>
        <w:jc w:val="both"/>
      </w:pPr>
      <w:r>
        <w:t xml:space="preserve">Orbitalys a signé la livraison de deux satellites d'observation, HÉLIOS-1 et HÉLIOS-2, à un opérateur institutionnel européen, avec échéances contractuelles aux tours T8 et T16 et pénalités de retard lourdes. Chaque consultant est le responsable supply chain de son entreprise sur ce programme. Deux personnages récurrents, jamais joués, rythment la narration : Claire Vasseur, directrice du programme chez Orbitalys, dont les courriels de plus en plus tendus scandent la dérive des jalons, et Wei-Han Lu, VP commercial de NovaFab, dont les réponses aux demandes d'allocation servent de baromètre de la crise. Le reveal du débrief (J15) apprend aux participants qu'ils viennent de rejouer la crise mondiale des semi-conducteurs de septembre 2020 à février 2022.</w:t>
      </w:r>
    </w:p>
    <w:p>
      <w:pPr>
        <w:spacing w:after="120" w:line="276"/>
        <w:jc w:val="both"/>
      </w:pPr>
      <w:r>
        <w:t xml:space="preserve">La correspondance tour par mois réel et les ancrages documentaires ne sortent jamais de l'équipe d'animation : les consultants ne voient que les fiches générées par </w:t>
      </w:r>
      <w:r>
        <w:rPr>
          <w:rFonts w:ascii="Consolas" w:cs="Consolas" w:eastAsia="Consolas" w:hAnsi="Consolas"/>
          <w:color w:val="005A96"/>
          <w:sz w:val="18"/>
          <w:szCs w:val="18"/>
        </w:rPr>
        <w:t xml:space="preserve">make_briefings.py</w:t>
      </w:r>
      <w:r>
        <w:t xml:space="preserve"> (section 7).</w:t>
      </w:r>
    </w:p>
    <w:p>
      <w:pPr>
        <w:pStyle w:val="Heading2"/>
        <w:spacing w:after="130" w:before="260"/>
      </w:pPr>
      <w:r>
        <w:t xml:space="preserve">5.2 Le réseau : huit nœuds ancrés sur les acteurs réels</w:t>
      </w:r>
    </w:p>
    <w:p>
      <w:pPr>
        <w:spacing w:after="40"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95600"/>
                    </a:xfrm>
                    <a:prstGeom prst="rect">
                      <a:avLst/>
                    </a:prstGeom>
                  </pic:spPr>
                </pic:pic>
              </a:graphicData>
            </a:graphic>
          </wp:inline>
        </w:drawing>
      </w:r>
    </w:p>
    <w:p>
      <w:pPr>
        <w:spacing w:after="200" w:before="60"/>
        <w:jc w:val="center"/>
      </w:pPr>
      <w:r>
        <w:rPr>
          <w:i/>
          <w:iCs/>
          <w:color w:val="8C97A6"/>
          <w:sz w:val="18"/>
          <w:szCs w:val="18"/>
        </w:rPr>
        <w:t xml:space="preserve">Figure 1. Le réseau HÉLIOS : sept arcs nominaux, un arc de secours inerte (Meridian), coefficients γ (atténuation du Ud descendant) et β (amplification du Ur montant) par arc.</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750"/>
        <w:gridCol w:w="1420"/>
        <w:gridCol w:w="700"/>
        <w:gridCol w:w="1900"/>
        <w:gridCol w:w="3256"/>
      </w:tblGrid>
      <w:tr>
        <w:trPr>
          <w:tblHeader/>
        </w:trPr>
        <w:tc>
          <w:tcPr>
            <w:tcW w:type="dxa" w:w="1750"/>
            <w:shd w:fill="0072BC" w:val="clear"/>
            <w:tcMar>
              <w:top w:type="dxa" w:w="50"/>
              <w:left w:type="dxa" w:w="90"/>
              <w:bottom w:type="dxa" w:w="50"/>
              <w:right w:type="dxa" w:w="90"/>
            </w:tcMar>
            <w:vAlign w:val="center"/>
          </w:tcPr>
          <w:p>
            <w:pPr>
              <w:spacing w:after="20"/>
              <w:jc w:val="left"/>
            </w:pPr>
            <w:r>
              <w:rPr>
                <w:b/>
                <w:bCs/>
                <w:color w:val="FFFFFF"/>
                <w:sz w:val="17"/>
                <w:szCs w:val="17"/>
              </w:rPr>
              <w:t xml:space="preserve">Nœud (consultant)</w:t>
            </w:r>
          </w:p>
        </w:tc>
        <w:tc>
          <w:tcPr>
            <w:tcW w:type="dxa" w:w="1420"/>
            <w:shd w:fill="0072BC" w:val="clear"/>
            <w:tcMar>
              <w:top w:type="dxa" w:w="50"/>
              <w:left w:type="dxa" w:w="90"/>
              <w:bottom w:type="dxa" w:w="50"/>
              <w:right w:type="dxa" w:w="90"/>
            </w:tcMar>
            <w:vAlign w:val="center"/>
          </w:tcPr>
          <w:p>
            <w:pPr>
              <w:spacing w:after="20"/>
              <w:jc w:val="left"/>
            </w:pPr>
            <w:r>
              <w:rPr>
                <w:b/>
                <w:bCs/>
                <w:color w:val="FFFFFF"/>
                <w:sz w:val="17"/>
                <w:szCs w:val="17"/>
              </w:rPr>
              <w:t xml:space="preserve">Rôle</w:t>
            </w:r>
          </w:p>
        </w:tc>
        <w:tc>
          <w:tcPr>
            <w:tcW w:type="dxa" w:w="700"/>
            <w:shd w:fill="0072BC" w:val="clear"/>
            <w:tcMar>
              <w:top w:type="dxa" w:w="50"/>
              <w:left w:type="dxa" w:w="90"/>
              <w:bottom w:type="dxa" w:w="50"/>
              <w:right w:type="dxa" w:w="90"/>
            </w:tcMar>
            <w:vAlign w:val="center"/>
          </w:tcPr>
          <w:p>
            <w:pPr>
              <w:spacing w:after="20"/>
              <w:jc w:val="left"/>
            </w:pPr>
            <w:r>
              <w:rPr>
                <w:b/>
                <w:bCs/>
                <w:color w:val="FFFFFF"/>
                <w:sz w:val="17"/>
                <w:szCs w:val="17"/>
              </w:rPr>
              <w:t xml:space="preserve">Rang</w:t>
            </w:r>
          </w:p>
        </w:tc>
        <w:tc>
          <w:tcPr>
            <w:tcW w:type="dxa" w:w="1900"/>
            <w:shd w:fill="0072BC" w:val="clear"/>
            <w:tcMar>
              <w:top w:type="dxa" w:w="50"/>
              <w:left w:type="dxa" w:w="90"/>
              <w:bottom w:type="dxa" w:w="50"/>
              <w:right w:type="dxa" w:w="90"/>
            </w:tcMar>
            <w:vAlign w:val="center"/>
          </w:tcPr>
          <w:p>
            <w:pPr>
              <w:spacing w:after="20"/>
              <w:jc w:val="left"/>
            </w:pPr>
            <w:r>
              <w:rPr>
                <w:b/>
                <w:bCs/>
                <w:color w:val="FFFFFF"/>
                <w:sz w:val="17"/>
                <w:szCs w:val="17"/>
              </w:rPr>
              <w:t xml:space="preserve">Localisation</w:t>
            </w:r>
          </w:p>
        </w:tc>
        <w:tc>
          <w:tcPr>
            <w:tcW w:type="dxa" w:w="3256"/>
            <w:shd w:fill="0072BC" w:val="clear"/>
            <w:tcMar>
              <w:top w:type="dxa" w:w="50"/>
              <w:left w:type="dxa" w:w="90"/>
              <w:bottom w:type="dxa" w:w="50"/>
              <w:right w:type="dxa" w:w="90"/>
            </w:tcMar>
            <w:vAlign w:val="center"/>
          </w:tcPr>
          <w:p>
            <w:pPr>
              <w:spacing w:after="20"/>
              <w:jc w:val="left"/>
            </w:pPr>
            <w:r>
              <w:rPr>
                <w:b/>
                <w:bCs/>
                <w:color w:val="FFFFFF"/>
                <w:sz w:val="17"/>
                <w:szCs w:val="17"/>
              </w:rPr>
              <w:t xml:space="preserve">Ancrage réel (interne)</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Orbitalys (C1)</w:t>
            </w:r>
          </w:p>
        </w:tc>
        <w:tc>
          <w:tcPr>
            <w:tcW w:type="dxa" w:w="1420"/>
            <w:tcMar>
              <w:top w:type="dxa" w:w="50"/>
              <w:left w:type="dxa" w:w="90"/>
              <w:bottom w:type="dxa" w:w="50"/>
              <w:right w:type="dxa" w:w="90"/>
            </w:tcMar>
            <w:vAlign w:val="center"/>
          </w:tcPr>
          <w:p>
            <w:pPr>
              <w:spacing w:after="20"/>
              <w:jc w:val="left"/>
            </w:pPr>
            <w:r>
              <w:rPr>
                <w:color w:val="1F3050"/>
                <w:sz w:val="17"/>
                <w:szCs w:val="17"/>
              </w:rPr>
              <w:t xml:space="preserve">Client final, satellites</w:t>
            </w:r>
          </w:p>
        </w:tc>
        <w:tc>
          <w:tcPr>
            <w:tcW w:type="dxa" w:w="700"/>
            <w:tcMar>
              <w:top w:type="dxa" w:w="50"/>
              <w:left w:type="dxa" w:w="90"/>
              <w:bottom w:type="dxa" w:w="50"/>
              <w:right w:type="dxa" w:w="90"/>
            </w:tcMar>
            <w:vAlign w:val="center"/>
          </w:tcPr>
          <w:p>
            <w:pPr>
              <w:spacing w:after="20"/>
              <w:jc w:val="left"/>
            </w:pPr>
            <w:r>
              <w:rPr>
                <w:color w:val="1F3050"/>
                <w:sz w:val="17"/>
                <w:szCs w:val="17"/>
              </w:rPr>
              <w:t xml:space="preserve">0</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Toulouse</w:t>
            </w:r>
          </w:p>
        </w:tc>
        <w:tc>
          <w:tcPr>
            <w:tcW w:type="dxa" w:w="3256"/>
            <w:tcMar>
              <w:top w:type="dxa" w:w="50"/>
              <w:left w:type="dxa" w:w="90"/>
              <w:bottom w:type="dxa" w:w="50"/>
              <w:right w:type="dxa" w:w="90"/>
            </w:tcMar>
            <w:vAlign w:val="center"/>
          </w:tcPr>
          <w:p>
            <w:pPr>
              <w:spacing w:after="20"/>
              <w:jc w:val="left"/>
            </w:pPr>
            <w:r>
              <w:rPr>
                <w:color w:val="1F3050"/>
                <w:sz w:val="17"/>
                <w:szCs w:val="17"/>
              </w:rPr>
              <w:t xml:space="preserve">Thales Alenia Space / Airbus D&amp;S (produit satellite fictif DISCO)</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AvioSys Intégration (C2)</w:t>
            </w:r>
          </w:p>
        </w:tc>
        <w:tc>
          <w:tcPr>
            <w:tcW w:type="dxa" w:w="1420"/>
            <w:shd w:fill="EDF3F9" w:val="clear"/>
            <w:tcMar>
              <w:top w:type="dxa" w:w="50"/>
              <w:left w:type="dxa" w:w="90"/>
              <w:bottom w:type="dxa" w:w="50"/>
              <w:right w:type="dxa" w:w="90"/>
            </w:tcMar>
            <w:vAlign w:val="center"/>
          </w:tcPr>
          <w:p>
            <w:pPr>
              <w:spacing w:after="20"/>
              <w:jc w:val="left"/>
            </w:pPr>
            <w:r>
              <w:rPr>
                <w:color w:val="1F3050"/>
                <w:sz w:val="17"/>
                <w:szCs w:val="17"/>
              </w:rPr>
              <w:t xml:space="preserve">Avionique</w:t>
            </w:r>
          </w:p>
        </w:tc>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1</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Bordeaux</w:t>
            </w:r>
          </w:p>
        </w:tc>
        <w:tc>
          <w:tcPr>
            <w:tcW w:type="dxa" w:w="3256"/>
            <w:shd w:fill="EDF3F9" w:val="clear"/>
            <w:tcMar>
              <w:top w:type="dxa" w:w="50"/>
              <w:left w:type="dxa" w:w="90"/>
              <w:bottom w:type="dxa" w:w="50"/>
              <w:right w:type="dxa" w:w="90"/>
            </w:tcMar>
            <w:vAlign w:val="center"/>
          </w:tcPr>
          <w:p>
            <w:pPr>
              <w:spacing w:after="20"/>
              <w:jc w:val="left"/>
            </w:pPr>
            <w:r>
              <w:rPr>
                <w:color w:val="1F3050"/>
                <w:sz w:val="17"/>
                <w:szCs w:val="17"/>
              </w:rPr>
              <w:t xml:space="preserve">Safran Electronics &amp; Defense / Thales avionique</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Électis EMS (C3)</w:t>
            </w:r>
          </w:p>
        </w:tc>
        <w:tc>
          <w:tcPr>
            <w:tcW w:type="dxa" w:w="1420"/>
            <w:tcMar>
              <w:top w:type="dxa" w:w="50"/>
              <w:left w:type="dxa" w:w="90"/>
              <w:bottom w:type="dxa" w:w="50"/>
              <w:right w:type="dxa" w:w="90"/>
            </w:tcMar>
            <w:vAlign w:val="center"/>
          </w:tcPr>
          <w:p>
            <w:pPr>
              <w:spacing w:after="20"/>
              <w:jc w:val="left"/>
            </w:pPr>
            <w:r>
              <w:rPr>
                <w:color w:val="1F3050"/>
                <w:sz w:val="17"/>
                <w:szCs w:val="17"/>
              </w:rPr>
              <w:t xml:space="preserve">Cartes électroniques</w:t>
            </w:r>
          </w:p>
        </w:tc>
        <w:tc>
          <w:tcPr>
            <w:tcW w:type="dxa" w:w="700"/>
            <w:tcMar>
              <w:top w:type="dxa" w:w="50"/>
              <w:left w:type="dxa" w:w="90"/>
              <w:bottom w:type="dxa" w:w="50"/>
              <w:right w:type="dxa" w:w="90"/>
            </w:tcMar>
            <w:vAlign w:val="center"/>
          </w:tcPr>
          <w:p>
            <w:pPr>
              <w:spacing w:after="20"/>
              <w:jc w:val="left"/>
            </w:pPr>
            <w:r>
              <w:rPr>
                <w:color w:val="1F3050"/>
                <w:sz w:val="17"/>
                <w:szCs w:val="17"/>
              </w:rPr>
              <w:t xml:space="preserve">2</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Cholet</w:t>
            </w:r>
          </w:p>
        </w:tc>
        <w:tc>
          <w:tcPr>
            <w:tcW w:type="dxa" w:w="3256"/>
            <w:tcMar>
              <w:top w:type="dxa" w:w="50"/>
              <w:left w:type="dxa" w:w="90"/>
              <w:bottom w:type="dxa" w:w="50"/>
              <w:right w:type="dxa" w:w="90"/>
            </w:tcMar>
            <w:vAlign w:val="center"/>
          </w:tcPr>
          <w:p>
            <w:pPr>
              <w:spacing w:after="20"/>
              <w:jc w:val="left"/>
            </w:pPr>
            <w:r>
              <w:rPr>
                <w:color w:val="1F3050"/>
                <w:sz w:val="17"/>
                <w:szCs w:val="17"/>
              </w:rPr>
              <w:t xml:space="preserve">Asteelflash / Lacroix Electronics (EMS en allocation, 2021)</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CompoDis Europe (C4)</w:t>
            </w:r>
          </w:p>
        </w:tc>
        <w:tc>
          <w:tcPr>
            <w:tcW w:type="dxa" w:w="1420"/>
            <w:shd w:fill="EDF3F9" w:val="clear"/>
            <w:tcMar>
              <w:top w:type="dxa" w:w="50"/>
              <w:left w:type="dxa" w:w="90"/>
              <w:bottom w:type="dxa" w:w="50"/>
              <w:right w:type="dxa" w:w="90"/>
            </w:tcMar>
            <w:vAlign w:val="center"/>
          </w:tcPr>
          <w:p>
            <w:pPr>
              <w:spacing w:after="20"/>
              <w:jc w:val="left"/>
            </w:pPr>
            <w:r>
              <w:rPr>
                <w:color w:val="1F3050"/>
                <w:sz w:val="17"/>
                <w:szCs w:val="17"/>
              </w:rPr>
              <w:t xml:space="preserve">Distribution de composants</w:t>
            </w:r>
          </w:p>
        </w:tc>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3</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Rungis, hub Rotterdam</w:t>
            </w:r>
          </w:p>
        </w:tc>
        <w:tc>
          <w:tcPr>
            <w:tcW w:type="dxa" w:w="3256"/>
            <w:shd w:fill="EDF3F9" w:val="clear"/>
            <w:tcMar>
              <w:top w:type="dxa" w:w="50"/>
              <w:left w:type="dxa" w:w="90"/>
              <w:bottom w:type="dxa" w:w="50"/>
              <w:right w:type="dxa" w:w="90"/>
            </w:tcMar>
            <w:vAlign w:val="center"/>
          </w:tcPr>
          <w:p>
            <w:pPr>
              <w:spacing w:after="20"/>
              <w:jc w:val="left"/>
            </w:pPr>
            <w:r>
              <w:rPr>
                <w:color w:val="1F3050"/>
                <w:sz w:val="17"/>
                <w:szCs w:val="17"/>
              </w:rPr>
              <w:t xml:space="preserve">Avnet / Arrow / Rutronik (allocation, primes spot, NCNR)</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TransGlobal Fret (C5)</w:t>
            </w:r>
          </w:p>
        </w:tc>
        <w:tc>
          <w:tcPr>
            <w:tcW w:type="dxa" w:w="1420"/>
            <w:tcMar>
              <w:top w:type="dxa" w:w="50"/>
              <w:left w:type="dxa" w:w="90"/>
              <w:bottom w:type="dxa" w:w="50"/>
              <w:right w:type="dxa" w:w="90"/>
            </w:tcMar>
            <w:vAlign w:val="center"/>
          </w:tcPr>
          <w:p>
            <w:pPr>
              <w:spacing w:after="20"/>
              <w:jc w:val="left"/>
            </w:pPr>
            <w:r>
              <w:rPr>
                <w:color w:val="1F3050"/>
                <w:sz w:val="17"/>
                <w:szCs w:val="17"/>
              </w:rPr>
              <w:t xml:space="preserve">Logistique</w:t>
            </w:r>
          </w:p>
        </w:tc>
        <w:tc>
          <w:tcPr>
            <w:tcW w:type="dxa" w:w="700"/>
            <w:tcMar>
              <w:top w:type="dxa" w:w="50"/>
              <w:left w:type="dxa" w:w="90"/>
              <w:bottom w:type="dxa" w:w="50"/>
              <w:right w:type="dxa" w:w="90"/>
            </w:tcMar>
            <w:vAlign w:val="center"/>
          </w:tcPr>
          <w:p>
            <w:pPr>
              <w:spacing w:after="20"/>
              <w:jc w:val="left"/>
            </w:pPr>
            <w:r>
              <w:rPr>
                <w:color w:val="1F3050"/>
                <w:sz w:val="17"/>
                <w:szCs w:val="17"/>
              </w:rPr>
              <w:t xml:space="preserve">3</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Le Havre</w:t>
            </w:r>
          </w:p>
        </w:tc>
        <w:tc>
          <w:tcPr>
            <w:tcW w:type="dxa" w:w="3256"/>
            <w:tcMar>
              <w:top w:type="dxa" w:w="50"/>
              <w:left w:type="dxa" w:w="90"/>
              <w:bottom w:type="dxa" w:w="50"/>
              <w:right w:type="dxa" w:w="90"/>
            </w:tcMar>
            <w:vAlign w:val="center"/>
          </w:tcPr>
          <w:p>
            <w:pPr>
              <w:spacing w:after="20"/>
              <w:jc w:val="left"/>
            </w:pPr>
            <w:r>
              <w:rPr>
                <w:color w:val="1F3050"/>
                <w:sz w:val="17"/>
                <w:szCs w:val="17"/>
              </w:rPr>
              <w:t xml:space="preserve">Kuehne+Nagel / DHL GF (fret, Suez, congestion côte ouest)</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NovaFab Semiconductors (C6)</w:t>
            </w:r>
          </w:p>
        </w:tc>
        <w:tc>
          <w:tcPr>
            <w:tcW w:type="dxa" w:w="1420"/>
            <w:shd w:fill="EDF3F9" w:val="clear"/>
            <w:tcMar>
              <w:top w:type="dxa" w:w="50"/>
              <w:left w:type="dxa" w:w="90"/>
              <w:bottom w:type="dxa" w:w="50"/>
              <w:right w:type="dxa" w:w="90"/>
            </w:tcMar>
            <w:vAlign w:val="center"/>
          </w:tcPr>
          <w:p>
            <w:pPr>
              <w:spacing w:after="20"/>
              <w:jc w:val="left"/>
            </w:pPr>
            <w:r>
              <w:rPr>
                <w:color w:val="1F3050"/>
                <w:sz w:val="17"/>
                <w:szCs w:val="17"/>
              </w:rPr>
              <w:t xml:space="preserve">Fondeur (goulot attendu)</w:t>
            </w:r>
          </w:p>
        </w:tc>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4</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Taishan + fab Texas</w:t>
            </w:r>
          </w:p>
        </w:tc>
        <w:tc>
          <w:tcPr>
            <w:tcW w:type="dxa" w:w="3256"/>
            <w:shd w:fill="EDF3F9" w:val="clear"/>
            <w:tcMar>
              <w:top w:type="dxa" w:w="50"/>
              <w:left w:type="dxa" w:w="90"/>
              <w:bottom w:type="dxa" w:w="50"/>
              <w:right w:type="dxa" w:w="90"/>
            </w:tcMar>
            <w:vAlign w:val="center"/>
          </w:tcPr>
          <w:p>
            <w:pPr>
              <w:spacing w:after="20"/>
              <w:jc w:val="left"/>
            </w:pPr>
            <w:r>
              <w:rPr>
                <w:color w:val="1F3050"/>
                <w:sz w:val="17"/>
                <w:szCs w:val="17"/>
              </w:rPr>
              <w:t xml:space="preserve">Composite documenté : TSMC (sécheresse, surbooking) + Samsung/NXP/Infineon Austin (gel Texas)</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Meridian Semi (C7)</w:t>
            </w:r>
          </w:p>
        </w:tc>
        <w:tc>
          <w:tcPr>
            <w:tcW w:type="dxa" w:w="1420"/>
            <w:tcMar>
              <w:top w:type="dxa" w:w="50"/>
              <w:left w:type="dxa" w:w="90"/>
              <w:bottom w:type="dxa" w:w="50"/>
              <w:right w:type="dxa" w:w="90"/>
            </w:tcMar>
            <w:vAlign w:val="center"/>
          </w:tcPr>
          <w:p>
            <w:pPr>
              <w:spacing w:after="20"/>
              <w:jc w:val="left"/>
            </w:pPr>
            <w:r>
              <w:rPr>
                <w:color w:val="1F3050"/>
                <w:sz w:val="17"/>
                <w:szCs w:val="17"/>
              </w:rPr>
              <w:t xml:space="preserve">Fondeur secondaire (secours)</w:t>
            </w:r>
          </w:p>
        </w:tc>
        <w:tc>
          <w:tcPr>
            <w:tcW w:type="dxa" w:w="700"/>
            <w:tcMar>
              <w:top w:type="dxa" w:w="50"/>
              <w:left w:type="dxa" w:w="90"/>
              <w:bottom w:type="dxa" w:w="50"/>
              <w:right w:type="dxa" w:w="90"/>
            </w:tcMar>
            <w:vAlign w:val="center"/>
          </w:tcPr>
          <w:p>
            <w:pPr>
              <w:spacing w:after="20"/>
              <w:jc w:val="left"/>
            </w:pPr>
            <w:r>
              <w:rPr>
                <w:color w:val="1F3050"/>
                <w:sz w:val="17"/>
                <w:szCs w:val="17"/>
              </w:rPr>
              <w:t xml:space="preserve">4</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Dresde</w:t>
            </w:r>
          </w:p>
        </w:tc>
        <w:tc>
          <w:tcPr>
            <w:tcW w:type="dxa" w:w="3256"/>
            <w:tcMar>
              <w:top w:type="dxa" w:w="50"/>
              <w:left w:type="dxa" w:w="90"/>
              <w:bottom w:type="dxa" w:w="50"/>
              <w:right w:type="dxa" w:w="90"/>
            </w:tcMar>
            <w:vAlign w:val="center"/>
          </w:tcPr>
          <w:p>
            <w:pPr>
              <w:spacing w:after="20"/>
              <w:jc w:val="left"/>
            </w:pPr>
            <w:r>
              <w:rPr>
                <w:color w:val="1F3050"/>
                <w:sz w:val="17"/>
                <w:szCs w:val="17"/>
              </w:rPr>
              <w:t xml:space="preserve">GlobalFoundries (carnet plein 2021, le backup inerte)</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SilPure Materials (C8)</w:t>
            </w:r>
          </w:p>
        </w:tc>
        <w:tc>
          <w:tcPr>
            <w:tcW w:type="dxa" w:w="1420"/>
            <w:shd w:fill="EDF3F9" w:val="clear"/>
            <w:tcMar>
              <w:top w:type="dxa" w:w="50"/>
              <w:left w:type="dxa" w:w="90"/>
              <w:bottom w:type="dxa" w:w="50"/>
              <w:right w:type="dxa" w:w="90"/>
            </w:tcMar>
            <w:vAlign w:val="center"/>
          </w:tcPr>
          <w:p>
            <w:pPr>
              <w:spacing w:after="20"/>
              <w:jc w:val="left"/>
            </w:pPr>
            <w:r>
              <w:rPr>
                <w:color w:val="1F3050"/>
                <w:sz w:val="17"/>
                <w:szCs w:val="17"/>
              </w:rPr>
              <w:t xml:space="preserve">Wafers, matière première</w:t>
            </w:r>
          </w:p>
        </w:tc>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5</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Kyūshū, Japon</w:t>
            </w:r>
          </w:p>
        </w:tc>
        <w:tc>
          <w:tcPr>
            <w:tcW w:type="dxa" w:w="3256"/>
            <w:shd w:fill="EDF3F9" w:val="clear"/>
            <w:tcMar>
              <w:top w:type="dxa" w:w="50"/>
              <w:left w:type="dxa" w:w="90"/>
              <w:bottom w:type="dxa" w:w="50"/>
              <w:right w:type="dxa" w:w="90"/>
            </w:tcMar>
            <w:vAlign w:val="center"/>
          </w:tcPr>
          <w:p>
            <w:pPr>
              <w:spacing w:after="20"/>
              <w:jc w:val="left"/>
            </w:pPr>
            <w:r>
              <w:rPr>
                <w:color w:val="1F3050"/>
                <w:sz w:val="17"/>
                <w:szCs w:val="17"/>
              </w:rPr>
              <w:t xml:space="preserve">Shin-Etsu / SUMCO (environ 60 % des wafers ; polysilicium ×3 en 2021)</w:t>
            </w:r>
          </w:p>
        </w:tc>
      </w:tr>
    </w:tbl>
    <w:p>
      <w:pPr>
        <w:spacing w:after="160"/>
      </w:pPr>
    </w:p>
    <w:p>
      <w:pPr>
        <w:pStyle w:val="Heading2"/>
        <w:spacing w:after="130" w:before="260"/>
      </w:pPr>
      <w:r>
        <w:t xml:space="preserve">5.3 Compression temporelle</w:t>
      </w:r>
    </w:p>
    <w:p>
      <w:pPr>
        <w:spacing w:after="120" w:line="276"/>
        <w:jc w:val="both"/>
      </w:pPr>
      <w:r>
        <w:t xml:space="preserve">Un tour de jeu représente une semaine moteur (advance_week) et raconte un mois réel. Les durées réelles sont converties en heures moteur par la constante REAL_WEEK_ENGINE_H = 168 / 4.345 ≈ 38.66 heures par semaine réelle : ainsi le gel du Texas (arrêt d'un mois, soit 4 semaines réelles) devient un arrêt de 154.6 heures moteur. Cette convention permet de garder des ordres de grandeur exacts (délais de 12 à 25 semaines, requalification de 6 mois) dans un jeu qui tient en 18 tours.</w:t>
      </w:r>
    </w:p>
    <w:p>
      <w:pPr>
        <w:pStyle w:val="Heading2"/>
        <w:spacing w:after="130" w:before="260"/>
      </w:pPr>
      <w:r>
        <w:t xml:space="preserve">5.4 Dramaturgie en cinq actes</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300"/>
        <w:gridCol w:w="1100"/>
        <w:gridCol w:w="1700"/>
        <w:gridCol w:w="4926"/>
      </w:tblGrid>
      <w:tr>
        <w:trPr>
          <w:tblHeader/>
        </w:trPr>
        <w:tc>
          <w:tcPr>
            <w:tcW w:type="dxa" w:w="1300"/>
            <w:shd w:fill="0072BC" w:val="clear"/>
            <w:tcMar>
              <w:top w:type="dxa" w:w="50"/>
              <w:left w:type="dxa" w:w="90"/>
              <w:bottom w:type="dxa" w:w="50"/>
              <w:right w:type="dxa" w:w="90"/>
            </w:tcMar>
            <w:vAlign w:val="center"/>
          </w:tcPr>
          <w:p>
            <w:pPr>
              <w:spacing w:after="20"/>
              <w:jc w:val="left"/>
            </w:pPr>
            <w:r>
              <w:rPr>
                <w:b/>
                <w:bCs/>
                <w:color w:val="FFFFFF"/>
                <w:sz w:val="19"/>
                <w:szCs w:val="19"/>
              </w:rPr>
              <w:t xml:space="preserve">Acte</w:t>
            </w:r>
          </w:p>
        </w:tc>
        <w:tc>
          <w:tcPr>
            <w:tcW w:type="dxa" w:w="1100"/>
            <w:shd w:fill="0072BC" w:val="clear"/>
            <w:tcMar>
              <w:top w:type="dxa" w:w="50"/>
              <w:left w:type="dxa" w:w="90"/>
              <w:bottom w:type="dxa" w:w="50"/>
              <w:right w:type="dxa" w:w="90"/>
            </w:tcMar>
            <w:vAlign w:val="center"/>
          </w:tcPr>
          <w:p>
            <w:pPr>
              <w:spacing w:after="20"/>
              <w:jc w:val="left"/>
            </w:pPr>
            <w:r>
              <w:rPr>
                <w:b/>
                <w:bCs/>
                <w:color w:val="FFFFFF"/>
                <w:sz w:val="19"/>
                <w:szCs w:val="19"/>
              </w:rPr>
              <w:t xml:space="preserve">Tours</w:t>
            </w:r>
          </w:p>
        </w:tc>
        <w:tc>
          <w:tcPr>
            <w:tcW w:type="dxa" w:w="1700"/>
            <w:shd w:fill="0072BC" w:val="clear"/>
            <w:tcMar>
              <w:top w:type="dxa" w:w="50"/>
              <w:left w:type="dxa" w:w="90"/>
              <w:bottom w:type="dxa" w:w="50"/>
              <w:right w:type="dxa" w:w="90"/>
            </w:tcMar>
            <w:vAlign w:val="center"/>
          </w:tcPr>
          <w:p>
            <w:pPr>
              <w:spacing w:after="20"/>
              <w:jc w:val="left"/>
            </w:pPr>
            <w:r>
              <w:rPr>
                <w:b/>
                <w:bCs/>
                <w:color w:val="FFFFFF"/>
                <w:sz w:val="19"/>
                <w:szCs w:val="19"/>
              </w:rPr>
              <w:t xml:space="preserve">Mois réels</w:t>
            </w:r>
          </w:p>
        </w:tc>
        <w:tc>
          <w:tcPr>
            <w:tcW w:type="dxa" w:w="4926"/>
            <w:shd w:fill="0072BC" w:val="clear"/>
            <w:tcMar>
              <w:top w:type="dxa" w:w="50"/>
              <w:left w:type="dxa" w:w="90"/>
              <w:bottom w:type="dxa" w:w="50"/>
              <w:right w:type="dxa" w:w="90"/>
            </w:tcMar>
            <w:vAlign w:val="center"/>
          </w:tcPr>
          <w:p>
            <w:pPr>
              <w:spacing w:after="20"/>
              <w:jc w:val="left"/>
            </w:pPr>
            <w:r>
              <w:rPr>
                <w:b/>
                <w:bCs/>
                <w:color w:val="FFFFFF"/>
                <w:sz w:val="19"/>
                <w:szCs w:val="19"/>
              </w:rPr>
              <w:t xml:space="preserve">Ce qui se joue</w:t>
            </w:r>
          </w:p>
        </w:tc>
      </w:tr>
      <w:tr>
        <w:tc>
          <w:tcPr>
            <w:tcW w:type="dxa" w:w="1300"/>
            <w:tcMar>
              <w:top w:type="dxa" w:w="50"/>
              <w:left w:type="dxa" w:w="90"/>
              <w:bottom w:type="dxa" w:w="50"/>
              <w:right w:type="dxa" w:w="90"/>
            </w:tcMar>
            <w:vAlign w:val="center"/>
          </w:tcPr>
          <w:p>
            <w:pPr>
              <w:spacing w:after="20"/>
              <w:jc w:val="left"/>
            </w:pPr>
            <w:r>
              <w:rPr>
                <w:color w:val="1F3050"/>
                <w:sz w:val="19"/>
                <w:szCs w:val="19"/>
              </w:rPr>
              <w:t xml:space="preserve">P1 Baseline</w:t>
            </w:r>
          </w:p>
        </w:tc>
        <w:tc>
          <w:tcPr>
            <w:tcW w:type="dxa" w:w="1100"/>
            <w:tcMar>
              <w:top w:type="dxa" w:w="50"/>
              <w:left w:type="dxa" w:w="90"/>
              <w:bottom w:type="dxa" w:w="50"/>
              <w:right w:type="dxa" w:w="90"/>
            </w:tcMar>
            <w:vAlign w:val="center"/>
          </w:tcPr>
          <w:p>
            <w:pPr>
              <w:spacing w:after="20"/>
              <w:jc w:val="left"/>
            </w:pPr>
            <w:r>
              <w:rPr>
                <w:color w:val="1F3050"/>
                <w:sz w:val="19"/>
                <w:szCs w:val="19"/>
              </w:rPr>
              <w:t xml:space="preserve">T1-T4</w:t>
            </w:r>
          </w:p>
        </w:tc>
        <w:tc>
          <w:tcPr>
            <w:tcW w:type="dxa" w:w="1700"/>
            <w:tcMar>
              <w:top w:type="dxa" w:w="50"/>
              <w:left w:type="dxa" w:w="90"/>
              <w:bottom w:type="dxa" w:w="50"/>
              <w:right w:type="dxa" w:w="90"/>
            </w:tcMar>
            <w:vAlign w:val="center"/>
          </w:tcPr>
          <w:p>
            <w:pPr>
              <w:spacing w:after="20"/>
              <w:jc w:val="left"/>
            </w:pPr>
            <w:r>
              <w:rPr>
                <w:color w:val="1F3050"/>
                <w:sz w:val="19"/>
                <w:szCs w:val="19"/>
              </w:rPr>
              <w:t xml:space="preserve">sept-déc 2020</w:t>
            </w:r>
          </w:p>
        </w:tc>
        <w:tc>
          <w:tcPr>
            <w:tcW w:type="dxa" w:w="4926"/>
            <w:tcMar>
              <w:top w:type="dxa" w:w="50"/>
              <w:left w:type="dxa" w:w="90"/>
              <w:bottom w:type="dxa" w:w="50"/>
              <w:right w:type="dxa" w:w="90"/>
            </w:tcMar>
            <w:vAlign w:val="center"/>
          </w:tcPr>
          <w:p>
            <w:pPr>
              <w:spacing w:after="20"/>
              <w:jc w:val="left"/>
            </w:pPr>
            <w:r>
              <w:rPr>
                <w:color w:val="1F3050"/>
                <w:sz w:val="19"/>
                <w:szCs w:val="19"/>
              </w:rPr>
              <w:t xml:space="preserve">Programme lancé, signaux faibles que personne ne veut voir.</w:t>
            </w:r>
          </w:p>
        </w:tc>
      </w:tr>
      <w:tr>
        <w:tc>
          <w:tcPr>
            <w:tcW w:type="dxa" w:w="1300"/>
            <w:shd w:fill="EDF3F9" w:val="clear"/>
            <w:tcMar>
              <w:top w:type="dxa" w:w="50"/>
              <w:left w:type="dxa" w:w="90"/>
              <w:bottom w:type="dxa" w:w="50"/>
              <w:right w:type="dxa" w:w="90"/>
            </w:tcMar>
            <w:vAlign w:val="center"/>
          </w:tcPr>
          <w:p>
            <w:pPr>
              <w:spacing w:after="20"/>
              <w:jc w:val="left"/>
            </w:pPr>
            <w:r>
              <w:rPr>
                <w:color w:val="1F3050"/>
                <w:sz w:val="19"/>
                <w:szCs w:val="19"/>
              </w:rPr>
              <w:t xml:space="preserve">P2 Bascule</w:t>
            </w:r>
          </w:p>
        </w:tc>
        <w:tc>
          <w:tcPr>
            <w:tcW w:type="dxa" w:w="1100"/>
            <w:shd w:fill="EDF3F9" w:val="clear"/>
            <w:tcMar>
              <w:top w:type="dxa" w:w="50"/>
              <w:left w:type="dxa" w:w="90"/>
              <w:bottom w:type="dxa" w:w="50"/>
              <w:right w:type="dxa" w:w="90"/>
            </w:tcMar>
            <w:vAlign w:val="center"/>
          </w:tcPr>
          <w:p>
            <w:pPr>
              <w:spacing w:after="20"/>
              <w:jc w:val="left"/>
            </w:pPr>
            <w:r>
              <w:rPr>
                <w:color w:val="1F3050"/>
                <w:sz w:val="19"/>
                <w:szCs w:val="19"/>
              </w:rPr>
              <w:t xml:space="preserve">T5-T8</w:t>
            </w:r>
          </w:p>
        </w:tc>
        <w:tc>
          <w:tcPr>
            <w:tcW w:type="dxa" w:w="1700"/>
            <w:shd w:fill="EDF3F9" w:val="clear"/>
            <w:tcMar>
              <w:top w:type="dxa" w:w="50"/>
              <w:left w:type="dxa" w:w="90"/>
              <w:bottom w:type="dxa" w:w="50"/>
              <w:right w:type="dxa" w:w="90"/>
            </w:tcMar>
            <w:vAlign w:val="center"/>
          </w:tcPr>
          <w:p>
            <w:pPr>
              <w:spacing w:after="20"/>
              <w:jc w:val="left"/>
            </w:pPr>
            <w:r>
              <w:rPr>
                <w:color w:val="1F3050"/>
                <w:sz w:val="19"/>
                <w:szCs w:val="19"/>
              </w:rPr>
              <w:t xml:space="preserve">janv-avr 2021</w:t>
            </w:r>
          </w:p>
        </w:tc>
        <w:tc>
          <w:tcPr>
            <w:tcW w:type="dxa" w:w="4926"/>
            <w:shd w:fill="EDF3F9" w:val="clear"/>
            <w:tcMar>
              <w:top w:type="dxa" w:w="50"/>
              <w:left w:type="dxa" w:w="90"/>
              <w:bottom w:type="dxa" w:w="50"/>
              <w:right w:type="dxa" w:w="90"/>
            </w:tcMar>
            <w:vAlign w:val="center"/>
          </w:tcPr>
          <w:p>
            <w:pPr>
              <w:spacing w:after="20"/>
              <w:jc w:val="left"/>
            </w:pPr>
            <w:r>
              <w:rPr>
                <w:color w:val="1F3050"/>
                <w:sz w:val="19"/>
                <w:szCs w:val="19"/>
              </w:rPr>
              <w:t xml:space="preserve">Gel Texas, incendie chez un concurrent, Suez, délais doublés : la crise devient visible.</w:t>
            </w:r>
          </w:p>
        </w:tc>
      </w:tr>
      <w:tr>
        <w:tc>
          <w:tcPr>
            <w:tcW w:type="dxa" w:w="1300"/>
            <w:tcMar>
              <w:top w:type="dxa" w:w="50"/>
              <w:left w:type="dxa" w:w="90"/>
              <w:bottom w:type="dxa" w:w="50"/>
              <w:right w:type="dxa" w:w="90"/>
            </w:tcMar>
            <w:vAlign w:val="center"/>
          </w:tcPr>
          <w:p>
            <w:pPr>
              <w:spacing w:after="20"/>
              <w:jc w:val="left"/>
            </w:pPr>
            <w:r>
              <w:rPr>
                <w:color w:val="1F3050"/>
                <w:sz w:val="19"/>
                <w:szCs w:val="19"/>
              </w:rPr>
              <w:t xml:space="preserve">P3 Étau</w:t>
            </w:r>
          </w:p>
        </w:tc>
        <w:tc>
          <w:tcPr>
            <w:tcW w:type="dxa" w:w="1100"/>
            <w:tcMar>
              <w:top w:type="dxa" w:w="50"/>
              <w:left w:type="dxa" w:w="90"/>
              <w:bottom w:type="dxa" w:w="50"/>
              <w:right w:type="dxa" w:w="90"/>
            </w:tcMar>
            <w:vAlign w:val="center"/>
          </w:tcPr>
          <w:p>
            <w:pPr>
              <w:spacing w:after="20"/>
              <w:jc w:val="left"/>
            </w:pPr>
            <w:r>
              <w:rPr>
                <w:color w:val="1F3050"/>
                <w:sz w:val="19"/>
                <w:szCs w:val="19"/>
              </w:rPr>
              <w:t xml:space="preserve">T9-T12</w:t>
            </w:r>
          </w:p>
        </w:tc>
        <w:tc>
          <w:tcPr>
            <w:tcW w:type="dxa" w:w="1700"/>
            <w:tcMar>
              <w:top w:type="dxa" w:w="50"/>
              <w:left w:type="dxa" w:w="90"/>
              <w:bottom w:type="dxa" w:w="50"/>
              <w:right w:type="dxa" w:w="90"/>
            </w:tcMar>
            <w:vAlign w:val="center"/>
          </w:tcPr>
          <w:p>
            <w:pPr>
              <w:spacing w:after="20"/>
              <w:jc w:val="left"/>
            </w:pPr>
            <w:r>
              <w:rPr>
                <w:color w:val="1F3050"/>
                <w:sz w:val="19"/>
                <w:szCs w:val="19"/>
              </w:rPr>
              <w:t xml:space="preserve">mai-août 2021</w:t>
            </w:r>
          </w:p>
        </w:tc>
        <w:tc>
          <w:tcPr>
            <w:tcW w:type="dxa" w:w="4926"/>
            <w:tcMar>
              <w:top w:type="dxa" w:w="50"/>
              <w:left w:type="dxa" w:w="90"/>
              <w:bottom w:type="dxa" w:w="50"/>
              <w:right w:type="dxa" w:w="90"/>
            </w:tcMar>
            <w:vAlign w:val="center"/>
          </w:tcPr>
          <w:p>
            <w:pPr>
              <w:spacing w:after="20"/>
              <w:jc w:val="left"/>
            </w:pPr>
            <w:r>
              <w:rPr>
                <w:color w:val="1F3050"/>
                <w:sz w:val="19"/>
                <w:szCs w:val="19"/>
              </w:rPr>
              <w:t xml:space="preserve">Sécheresse, marché spot à 10-40 fois le prix, le backend casse : plus aucune marge nulle part.</w:t>
            </w:r>
          </w:p>
        </w:tc>
      </w:tr>
      <w:tr>
        <w:tc>
          <w:tcPr>
            <w:tcW w:type="dxa" w:w="1300"/>
            <w:shd w:fill="EDF3F9" w:val="clear"/>
            <w:tcMar>
              <w:top w:type="dxa" w:w="50"/>
              <w:left w:type="dxa" w:w="90"/>
              <w:bottom w:type="dxa" w:w="50"/>
              <w:right w:type="dxa" w:w="90"/>
            </w:tcMar>
            <w:vAlign w:val="center"/>
          </w:tcPr>
          <w:p>
            <w:pPr>
              <w:spacing w:after="20"/>
              <w:jc w:val="left"/>
            </w:pPr>
            <w:r>
              <w:rPr>
                <w:color w:val="1F3050"/>
                <w:sz w:val="19"/>
                <w:szCs w:val="19"/>
              </w:rPr>
              <w:t xml:space="preserve">P4 Rupture</w:t>
            </w:r>
          </w:p>
        </w:tc>
        <w:tc>
          <w:tcPr>
            <w:tcW w:type="dxa" w:w="1100"/>
            <w:shd w:fill="EDF3F9" w:val="clear"/>
            <w:tcMar>
              <w:top w:type="dxa" w:w="50"/>
              <w:left w:type="dxa" w:w="90"/>
              <w:bottom w:type="dxa" w:w="50"/>
              <w:right w:type="dxa" w:w="90"/>
            </w:tcMar>
            <w:vAlign w:val="center"/>
          </w:tcPr>
          <w:p>
            <w:pPr>
              <w:spacing w:after="20"/>
              <w:jc w:val="left"/>
            </w:pPr>
            <w:r>
              <w:rPr>
                <w:color w:val="1F3050"/>
                <w:sz w:val="19"/>
                <w:szCs w:val="19"/>
              </w:rPr>
              <w:t xml:space="preserve">T13-T16</w:t>
            </w:r>
          </w:p>
        </w:tc>
        <w:tc>
          <w:tcPr>
            <w:tcW w:type="dxa" w:w="1700"/>
            <w:shd w:fill="EDF3F9" w:val="clear"/>
            <w:tcMar>
              <w:top w:type="dxa" w:w="50"/>
              <w:left w:type="dxa" w:w="90"/>
              <w:bottom w:type="dxa" w:w="50"/>
              <w:right w:type="dxa" w:w="90"/>
            </w:tcMar>
            <w:vAlign w:val="center"/>
          </w:tcPr>
          <w:p>
            <w:pPr>
              <w:spacing w:after="20"/>
              <w:jc w:val="left"/>
            </w:pPr>
            <w:r>
              <w:rPr>
                <w:color w:val="1F3050"/>
                <w:sz w:val="19"/>
                <w:szCs w:val="19"/>
              </w:rPr>
              <w:t xml:space="preserve">sept-déc 2021</w:t>
            </w:r>
          </w:p>
        </w:tc>
        <w:tc>
          <w:tcPr>
            <w:tcW w:type="dxa" w:w="4926"/>
            <w:shd w:fill="EDF3F9" w:val="clear"/>
            <w:tcMar>
              <w:top w:type="dxa" w:w="50"/>
              <w:left w:type="dxa" w:w="90"/>
              <w:bottom w:type="dxa" w:w="50"/>
              <w:right w:type="dxa" w:w="90"/>
            </w:tcMar>
            <w:vAlign w:val="center"/>
          </w:tcPr>
          <w:p>
            <w:pPr>
              <w:spacing w:after="20"/>
              <w:jc w:val="left"/>
            </w:pPr>
            <w:r>
              <w:rPr>
                <w:color w:val="1F3050"/>
                <w:sz w:val="19"/>
                <w:szCs w:val="19"/>
              </w:rPr>
              <w:t xml:space="preserve">Réduction de 40 % chez un constructeur, bullwhip, HÉLIOS-1 glisse, le « plan B » se révèle inexistant.</w:t>
            </w:r>
          </w:p>
        </w:tc>
      </w:tr>
      <w:tr>
        <w:tc>
          <w:tcPr>
            <w:tcW w:type="dxa" w:w="1300"/>
            <w:tcMar>
              <w:top w:type="dxa" w:w="50"/>
              <w:left w:type="dxa" w:w="90"/>
              <w:bottom w:type="dxa" w:w="50"/>
              <w:right w:type="dxa" w:w="90"/>
            </w:tcMar>
            <w:vAlign w:val="center"/>
          </w:tcPr>
          <w:p>
            <w:pPr>
              <w:spacing w:after="20"/>
              <w:jc w:val="left"/>
            </w:pPr>
            <w:r>
              <w:rPr>
                <w:color w:val="1F3050"/>
                <w:sz w:val="19"/>
                <w:szCs w:val="19"/>
              </w:rPr>
              <w:t xml:space="preserve">P5 Décrue</w:t>
            </w:r>
          </w:p>
        </w:tc>
        <w:tc>
          <w:tcPr>
            <w:tcW w:type="dxa" w:w="1100"/>
            <w:tcMar>
              <w:top w:type="dxa" w:w="50"/>
              <w:left w:type="dxa" w:w="90"/>
              <w:bottom w:type="dxa" w:w="50"/>
              <w:right w:type="dxa" w:w="90"/>
            </w:tcMar>
            <w:vAlign w:val="center"/>
          </w:tcPr>
          <w:p>
            <w:pPr>
              <w:spacing w:after="20"/>
              <w:jc w:val="left"/>
            </w:pPr>
            <w:r>
              <w:rPr>
                <w:color w:val="1F3050"/>
                <w:sz w:val="19"/>
                <w:szCs w:val="19"/>
              </w:rPr>
              <w:t xml:space="preserve">T17-T18</w:t>
            </w:r>
          </w:p>
        </w:tc>
        <w:tc>
          <w:tcPr>
            <w:tcW w:type="dxa" w:w="1700"/>
            <w:tcMar>
              <w:top w:type="dxa" w:w="50"/>
              <w:left w:type="dxa" w:w="90"/>
              <w:bottom w:type="dxa" w:w="50"/>
              <w:right w:type="dxa" w:w="90"/>
            </w:tcMar>
            <w:vAlign w:val="center"/>
          </w:tcPr>
          <w:p>
            <w:pPr>
              <w:spacing w:after="20"/>
              <w:jc w:val="left"/>
            </w:pPr>
            <w:r>
              <w:rPr>
                <w:color w:val="1F3050"/>
                <w:sz w:val="19"/>
                <w:szCs w:val="19"/>
              </w:rPr>
              <w:t xml:space="preserve">janv-févr 2022</w:t>
            </w:r>
          </w:p>
        </w:tc>
        <w:tc>
          <w:tcPr>
            <w:tcW w:type="dxa" w:w="4926"/>
            <w:tcMar>
              <w:top w:type="dxa" w:w="50"/>
              <w:left w:type="dxa" w:w="90"/>
              <w:bottom w:type="dxa" w:w="50"/>
              <w:right w:type="dxa" w:w="90"/>
            </w:tcMar>
            <w:vAlign w:val="center"/>
          </w:tcPr>
          <w:p>
            <w:pPr>
              <w:spacing w:after="20"/>
              <w:jc w:val="left"/>
            </w:pPr>
            <w:r>
              <w:rPr>
                <w:color w:val="1F3050"/>
                <w:sz w:val="19"/>
                <w:szCs w:val="19"/>
              </w:rPr>
              <w:t xml:space="preserve">Détente lente : mesure de l'hystérésis du Ud (HA6).</w:t>
            </w:r>
          </w:p>
        </w:tc>
      </w:tr>
    </w:tbl>
    <w:p>
      <w:pPr>
        <w:spacing w:after="160"/>
      </w:pPr>
    </w:p>
    <w:p>
      <w:pPr>
        <w:pStyle w:val="Heading2"/>
        <w:spacing w:after="130" w:before="260"/>
      </w:pPr>
      <w:r>
        <w:t xml:space="preserve">5.5 Chronologie épisode par épisode et ancrages documentaires</w:t>
      </w:r>
    </w:p>
    <w:p>
      <w:pPr>
        <w:spacing w:after="120" w:line="276"/>
        <w:jc w:val="both"/>
      </w:pPr>
      <w:r>
        <w:t xml:space="preserve">La version machine (canaux presse, bilatéral et interne par nœud) vit dans </w:t>
      </w:r>
      <w:r>
        <w:rPr>
          <w:rFonts w:ascii="Consolas" w:cs="Consolas" w:eastAsia="Consolas" w:hAnsi="Consolas"/>
          <w:color w:val="005A96"/>
          <w:sz w:val="18"/>
          <w:szCs w:val="18"/>
        </w:rPr>
        <w:t xml:space="preserve">scenario.py</w:t>
      </w:r>
      <w:r>
        <w:t xml:space="preserve"> (dictionnaire NARRATIVE). Les temps forts et leur ancrage réel :</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800"/>
        <w:gridCol w:w="4800"/>
        <w:gridCol w:w="3426"/>
      </w:tblGrid>
      <w:tr>
        <w:trPr>
          <w:tblHeader/>
        </w:trPr>
        <w:tc>
          <w:tcPr>
            <w:tcW w:type="dxa" w:w="800"/>
            <w:shd w:fill="0072BC" w:val="clear"/>
            <w:tcMar>
              <w:top w:type="dxa" w:w="50"/>
              <w:left w:type="dxa" w:w="90"/>
              <w:bottom w:type="dxa" w:w="50"/>
              <w:right w:type="dxa" w:w="90"/>
            </w:tcMar>
            <w:vAlign w:val="center"/>
          </w:tcPr>
          <w:p>
            <w:pPr>
              <w:spacing w:after="20"/>
              <w:jc w:val="left"/>
            </w:pPr>
            <w:r>
              <w:rPr>
                <w:b/>
                <w:bCs/>
                <w:color w:val="FFFFFF"/>
                <w:sz w:val="17"/>
                <w:szCs w:val="17"/>
              </w:rPr>
              <w:t xml:space="preserve">Tour</w:t>
            </w:r>
          </w:p>
        </w:tc>
        <w:tc>
          <w:tcPr>
            <w:tcW w:type="dxa" w:w="4800"/>
            <w:shd w:fill="0072BC" w:val="clear"/>
            <w:tcMar>
              <w:top w:type="dxa" w:w="50"/>
              <w:left w:type="dxa" w:w="90"/>
              <w:bottom w:type="dxa" w:w="50"/>
              <w:right w:type="dxa" w:w="90"/>
            </w:tcMar>
            <w:vAlign w:val="center"/>
          </w:tcPr>
          <w:p>
            <w:pPr>
              <w:spacing w:after="20"/>
              <w:jc w:val="left"/>
            </w:pPr>
            <w:r>
              <w:rPr>
                <w:b/>
                <w:bCs/>
                <w:color w:val="FFFFFF"/>
                <w:sz w:val="17"/>
                <w:szCs w:val="17"/>
              </w:rPr>
              <w:t xml:space="preserve">Épisode</w:t>
            </w:r>
          </w:p>
        </w:tc>
        <w:tc>
          <w:tcPr>
            <w:tcW w:type="dxa" w:w="3426"/>
            <w:shd w:fill="0072BC" w:val="clear"/>
            <w:tcMar>
              <w:top w:type="dxa" w:w="50"/>
              <w:left w:type="dxa" w:w="90"/>
              <w:bottom w:type="dxa" w:w="50"/>
              <w:right w:type="dxa" w:w="90"/>
            </w:tcMar>
            <w:vAlign w:val="center"/>
          </w:tcPr>
          <w:p>
            <w:pPr>
              <w:spacing w:after="20"/>
              <w:jc w:val="left"/>
            </w:pPr>
            <w:r>
              <w:rPr>
                <w:b/>
                <w:bCs/>
                <w:color w:val="FFFFFF"/>
                <w:sz w:val="17"/>
                <w:szCs w:val="17"/>
              </w:rPr>
              <w:t xml:space="preserve">Ancrage réel</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T3</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Recommandes automobiles sur des créneaux déjà vendus ; délais 12 → 14 semaines.</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Reprise auto T4 2020</w:t>
            </w:r>
          </w:p>
        </w:tc>
      </w:tr>
      <w:tr>
        <w:tc>
          <w:tcPr>
            <w:tcW w:type="dxa" w:w="800"/>
            <w:shd w:fill="EDF3F9" w:val="clear"/>
            <w:tcMar>
              <w:top w:type="dxa" w:w="50"/>
              <w:left w:type="dxa" w:w="90"/>
              <w:bottom w:type="dxa" w:w="50"/>
              <w:right w:type="dxa" w:w="90"/>
            </w:tcMar>
            <w:vAlign w:val="center"/>
          </w:tcPr>
          <w:p>
            <w:pPr>
              <w:spacing w:after="20"/>
              <w:jc w:val="left"/>
            </w:pPr>
            <w:r>
              <w:rPr>
                <w:color w:val="1F3050"/>
                <w:sz w:val="17"/>
                <w:szCs w:val="17"/>
              </w:rPr>
              <w:t xml:space="preserve">T5</w:t>
            </w:r>
          </w:p>
        </w:tc>
        <w:tc>
          <w:tcPr>
            <w:tcW w:type="dxa" w:w="4800"/>
            <w:shd w:fill="EDF3F9" w:val="clear"/>
            <w:tcMar>
              <w:top w:type="dxa" w:w="50"/>
              <w:left w:type="dxa" w:w="90"/>
              <w:bottom w:type="dxa" w:w="50"/>
              <w:right w:type="dxa" w:w="90"/>
            </w:tcMar>
            <w:vAlign w:val="center"/>
          </w:tcPr>
          <w:p>
            <w:pPr>
              <w:spacing w:after="20"/>
              <w:jc w:val="left"/>
            </w:pPr>
            <w:r>
              <w:rPr>
                <w:color w:val="1F3050"/>
                <w:sz w:val="17"/>
                <w:szCs w:val="17"/>
              </w:rPr>
              <w:t xml:space="preserve">Premier constructeur à l'arrêt ; CompoDis passe en mode allocation.</w:t>
            </w:r>
          </w:p>
        </w:tc>
        <w:tc>
          <w:tcPr>
            <w:tcW w:type="dxa" w:w="3426"/>
            <w:shd w:fill="EDF3F9" w:val="clear"/>
            <w:tcMar>
              <w:top w:type="dxa" w:w="50"/>
              <w:left w:type="dxa" w:w="90"/>
              <w:bottom w:type="dxa" w:w="50"/>
              <w:right w:type="dxa" w:w="90"/>
            </w:tcMar>
            <w:vAlign w:val="center"/>
          </w:tcPr>
          <w:p>
            <w:pPr>
              <w:spacing w:after="20"/>
              <w:jc w:val="left"/>
            </w:pPr>
            <w:r>
              <w:rPr>
                <w:color w:val="1F3050"/>
                <w:sz w:val="17"/>
                <w:szCs w:val="17"/>
              </w:rPr>
              <w:t xml:space="preserve">VW et autres, janv. 2021</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T6</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Gel Texas : la fab texane de NovaFab arrêtée à chaud (événement accident, gravité critique).</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Samsung/NXP/Infineon Austin, févr. 2021</w:t>
            </w:r>
          </w:p>
        </w:tc>
      </w:tr>
      <w:tr>
        <w:tc>
          <w:tcPr>
            <w:tcW w:type="dxa" w:w="800"/>
            <w:shd w:fill="EDF3F9" w:val="clear"/>
            <w:tcMar>
              <w:top w:type="dxa" w:w="50"/>
              <w:left w:type="dxa" w:w="90"/>
              <w:bottom w:type="dxa" w:w="50"/>
              <w:right w:type="dxa" w:w="90"/>
            </w:tcMar>
            <w:vAlign w:val="center"/>
          </w:tcPr>
          <w:p>
            <w:pPr>
              <w:spacing w:after="20"/>
              <w:jc w:val="left"/>
            </w:pPr>
            <w:r>
              <w:rPr>
                <w:color w:val="1F3050"/>
                <w:sz w:val="17"/>
                <w:szCs w:val="17"/>
              </w:rPr>
              <w:t xml:space="preserve">T7</w:t>
            </w:r>
          </w:p>
        </w:tc>
        <w:tc>
          <w:tcPr>
            <w:tcW w:type="dxa" w:w="4800"/>
            <w:shd w:fill="EDF3F9" w:val="clear"/>
            <w:tcMar>
              <w:top w:type="dxa" w:w="50"/>
              <w:left w:type="dxa" w:w="90"/>
              <w:bottom w:type="dxa" w:w="50"/>
              <w:right w:type="dxa" w:w="90"/>
            </w:tcMar>
            <w:vAlign w:val="center"/>
          </w:tcPr>
          <w:p>
            <w:pPr>
              <w:spacing w:after="20"/>
              <w:jc w:val="left"/>
            </w:pPr>
            <w:r>
              <w:rPr>
                <w:color w:val="1F3050"/>
                <w:sz w:val="17"/>
                <w:szCs w:val="17"/>
              </w:rPr>
              <w:t xml:space="preserve">Incendie chez un concurrent, afflux de reports sur NovaFab ; canal de Suez bloqué six jours.</w:t>
            </w:r>
          </w:p>
        </w:tc>
        <w:tc>
          <w:tcPr>
            <w:tcW w:type="dxa" w:w="3426"/>
            <w:shd w:fill="EDF3F9" w:val="clear"/>
            <w:tcMar>
              <w:top w:type="dxa" w:w="50"/>
              <w:left w:type="dxa" w:w="90"/>
              <w:bottom w:type="dxa" w:w="50"/>
              <w:right w:type="dxa" w:w="90"/>
            </w:tcMar>
            <w:vAlign w:val="center"/>
          </w:tcPr>
          <w:p>
            <w:pPr>
              <w:spacing w:after="20"/>
              <w:jc w:val="left"/>
            </w:pPr>
            <w:r>
              <w:rPr>
                <w:color w:val="1F3050"/>
                <w:sz w:val="17"/>
                <w:szCs w:val="17"/>
              </w:rPr>
              <w:t xml:space="preserve">Renesas Naka + Ever Given, mars 2021</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T8</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Délais publiés : 22 semaines ; échéance contractuelle HÉLIOS-1 ; AvioSys à 7 semaines de stock.</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Broadcom 22.2 semaines, avr. 2021</w:t>
            </w:r>
          </w:p>
        </w:tc>
      </w:tr>
      <w:tr>
        <w:tc>
          <w:tcPr>
            <w:tcW w:type="dxa" w:w="800"/>
            <w:shd w:fill="EDF3F9" w:val="clear"/>
            <w:tcMar>
              <w:top w:type="dxa" w:w="50"/>
              <w:left w:type="dxa" w:w="90"/>
              <w:bottom w:type="dxa" w:w="50"/>
              <w:right w:type="dxa" w:w="90"/>
            </w:tcMar>
            <w:vAlign w:val="center"/>
          </w:tcPr>
          <w:p>
            <w:pPr>
              <w:spacing w:after="20"/>
              <w:jc w:val="left"/>
            </w:pPr>
            <w:r>
              <w:rPr>
                <w:color w:val="1F3050"/>
                <w:sz w:val="17"/>
                <w:szCs w:val="17"/>
              </w:rPr>
              <w:t xml:space="preserve">T9-T11</w:t>
            </w:r>
          </w:p>
        </w:tc>
        <w:tc>
          <w:tcPr>
            <w:tcW w:type="dxa" w:w="4800"/>
            <w:shd w:fill="EDF3F9" w:val="clear"/>
            <w:tcMar>
              <w:top w:type="dxa" w:w="50"/>
              <w:left w:type="dxa" w:w="90"/>
              <w:bottom w:type="dxa" w:w="50"/>
              <w:right w:type="dxa" w:w="90"/>
            </w:tcMar>
            <w:vAlign w:val="center"/>
          </w:tcPr>
          <w:p>
            <w:pPr>
              <w:spacing w:after="20"/>
              <w:jc w:val="left"/>
            </w:pPr>
            <w:r>
              <w:rPr>
                <w:color w:val="1F3050"/>
                <w:sz w:val="17"/>
                <w:szCs w:val="17"/>
              </w:rPr>
              <w:t xml:space="preserve">Sécheresse : réservoirs à 15 %, eau ultrapure rationnée, camions-citernes affrétés.</w:t>
            </w:r>
          </w:p>
        </w:tc>
        <w:tc>
          <w:tcPr>
            <w:tcW w:type="dxa" w:w="3426"/>
            <w:shd w:fill="EDF3F9" w:val="clear"/>
            <w:tcMar>
              <w:top w:type="dxa" w:w="50"/>
              <w:left w:type="dxa" w:w="90"/>
              <w:bottom w:type="dxa" w:w="50"/>
              <w:right w:type="dxa" w:w="90"/>
            </w:tcMar>
            <w:vAlign w:val="center"/>
          </w:tcPr>
          <w:p>
            <w:pPr>
              <w:spacing w:after="20"/>
              <w:jc w:val="left"/>
            </w:pPr>
            <w:r>
              <w:rPr>
                <w:color w:val="1F3050"/>
                <w:sz w:val="17"/>
                <w:szCs w:val="17"/>
              </w:rPr>
              <w:t xml:space="preserve">Taïwan, printemps-été 2021</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T12</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Backend d'Asie du Sud-Est en rotations réduites ; bascule vers un fret aérien saturé.</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Confinements Malaisie, août 2021</w:t>
            </w:r>
          </w:p>
        </w:tc>
      </w:tr>
      <w:tr>
        <w:tc>
          <w:tcPr>
            <w:tcW w:type="dxa" w:w="800"/>
            <w:shd w:fill="EDF3F9" w:val="clear"/>
            <w:tcMar>
              <w:top w:type="dxa" w:w="50"/>
              <w:left w:type="dxa" w:w="90"/>
              <w:bottom w:type="dxa" w:w="50"/>
              <w:right w:type="dxa" w:w="90"/>
            </w:tcMar>
            <w:vAlign w:val="center"/>
          </w:tcPr>
          <w:p>
            <w:pPr>
              <w:spacing w:after="20"/>
              <w:jc w:val="left"/>
            </w:pPr>
            <w:r>
              <w:rPr>
                <w:color w:val="1F3050"/>
                <w:sz w:val="17"/>
                <w:szCs w:val="17"/>
              </w:rPr>
              <w:t xml:space="preserve">T13</w:t>
            </w:r>
          </w:p>
        </w:tc>
        <w:tc>
          <w:tcPr>
            <w:tcW w:type="dxa" w:w="4800"/>
            <w:shd w:fill="EDF3F9" w:val="clear"/>
            <w:tcMar>
              <w:top w:type="dxa" w:w="50"/>
              <w:left w:type="dxa" w:w="90"/>
              <w:bottom w:type="dxa" w:w="50"/>
              <w:right w:type="dxa" w:w="90"/>
            </w:tcMar>
            <w:vAlign w:val="center"/>
          </w:tcPr>
          <w:p>
            <w:pPr>
              <w:spacing w:after="20"/>
              <w:jc w:val="left"/>
            </w:pPr>
            <w:r>
              <w:rPr>
                <w:color w:val="1F3050"/>
                <w:sz w:val="17"/>
                <w:szCs w:val="17"/>
              </w:rPr>
              <w:t xml:space="preserve">Réduction de 40 % chez un constructeur majeur ; sur-commandes massives ; HÉLIOS-1 glisse officiellement.</w:t>
            </w:r>
          </w:p>
        </w:tc>
        <w:tc>
          <w:tcPr>
            <w:tcW w:type="dxa" w:w="3426"/>
            <w:shd w:fill="EDF3F9" w:val="clear"/>
            <w:tcMar>
              <w:top w:type="dxa" w:w="50"/>
              <w:left w:type="dxa" w:w="90"/>
              <w:bottom w:type="dxa" w:w="50"/>
              <w:right w:type="dxa" w:w="90"/>
            </w:tcMar>
            <w:vAlign w:val="center"/>
          </w:tcPr>
          <w:p>
            <w:pPr>
              <w:spacing w:after="20"/>
              <w:jc w:val="left"/>
            </w:pPr>
            <w:r>
              <w:rPr>
                <w:color w:val="1F3050"/>
                <w:sz w:val="17"/>
                <w:szCs w:val="17"/>
              </w:rPr>
              <w:t xml:space="preserve">Toyota sept. 2021 ; bullwhip documenté</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T14-T15</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Congestion côte ouest (plus de cent navires) ; majorations tarifaires ; Meridian complet jusqu'à mi-2023.</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LA/Long Beach ; GlobalFoundries</w:t>
            </w:r>
          </w:p>
        </w:tc>
      </w:tr>
      <w:tr>
        <w:tc>
          <w:tcPr>
            <w:tcW w:type="dxa" w:w="800"/>
            <w:shd w:fill="EDF3F9" w:val="clear"/>
            <w:tcMar>
              <w:top w:type="dxa" w:w="50"/>
              <w:left w:type="dxa" w:w="90"/>
              <w:bottom w:type="dxa" w:w="50"/>
              <w:right w:type="dxa" w:w="90"/>
            </w:tcMar>
            <w:vAlign w:val="center"/>
          </w:tcPr>
          <w:p>
            <w:pPr>
              <w:spacing w:after="20"/>
              <w:jc w:val="left"/>
            </w:pPr>
            <w:r>
              <w:rPr>
                <w:color w:val="1F3050"/>
                <w:sz w:val="17"/>
                <w:szCs w:val="17"/>
              </w:rPr>
              <w:t xml:space="preserve">T16</w:t>
            </w:r>
          </w:p>
        </w:tc>
        <w:tc>
          <w:tcPr>
            <w:tcW w:type="dxa" w:w="4800"/>
            <w:shd w:fill="EDF3F9" w:val="clear"/>
            <w:tcMar>
              <w:top w:type="dxa" w:w="50"/>
              <w:left w:type="dxa" w:w="90"/>
              <w:bottom w:type="dxa" w:w="50"/>
              <w:right w:type="dxa" w:w="90"/>
            </w:tcMar>
            <w:vAlign w:val="center"/>
          </w:tcPr>
          <w:p>
            <w:pPr>
              <w:spacing w:after="20"/>
              <w:jc w:val="left"/>
            </w:pPr>
            <w:r>
              <w:rPr>
                <w:color w:val="1F3050"/>
                <w:sz w:val="17"/>
                <w:szCs w:val="17"/>
              </w:rPr>
              <w:t xml:space="preserve">Polysilicium multiplié par trois, répercuté par SilPure (+18 %) ; échéance HÉLIOS-2.</w:t>
            </w:r>
          </w:p>
        </w:tc>
        <w:tc>
          <w:tcPr>
            <w:tcW w:type="dxa" w:w="3426"/>
            <w:shd w:fill="EDF3F9" w:val="clear"/>
            <w:tcMar>
              <w:top w:type="dxa" w:w="50"/>
              <w:left w:type="dxa" w:w="90"/>
              <w:bottom w:type="dxa" w:w="50"/>
              <w:right w:type="dxa" w:w="90"/>
            </w:tcMar>
            <w:vAlign w:val="center"/>
          </w:tcPr>
          <w:p>
            <w:pPr>
              <w:spacing w:after="20"/>
              <w:jc w:val="left"/>
            </w:pPr>
            <w:r>
              <w:rPr>
                <w:color w:val="1F3050"/>
                <w:sz w:val="17"/>
                <w:szCs w:val="17"/>
              </w:rPr>
              <w:t xml:space="preserve">Flambée du polysilicium 2021</w:t>
            </w:r>
          </w:p>
        </w:tc>
      </w:tr>
      <w:tr>
        <w:tc>
          <w:tcPr>
            <w:tcW w:type="dxa" w:w="800"/>
            <w:tcMar>
              <w:top w:type="dxa" w:w="50"/>
              <w:left w:type="dxa" w:w="90"/>
              <w:bottom w:type="dxa" w:w="50"/>
              <w:right w:type="dxa" w:w="90"/>
            </w:tcMar>
            <w:vAlign w:val="center"/>
          </w:tcPr>
          <w:p>
            <w:pPr>
              <w:spacing w:after="20"/>
              <w:jc w:val="left"/>
            </w:pPr>
            <w:r>
              <w:rPr>
                <w:color w:val="1F3050"/>
                <w:sz w:val="17"/>
                <w:szCs w:val="17"/>
              </w:rPr>
              <w:t xml:space="preserve">T17-T18</w:t>
            </w:r>
          </w:p>
        </w:tc>
        <w:tc>
          <w:tcPr>
            <w:tcW w:type="dxa" w:w="4800"/>
            <w:tcMar>
              <w:top w:type="dxa" w:w="50"/>
              <w:left w:type="dxa" w:w="90"/>
              <w:bottom w:type="dxa" w:w="50"/>
              <w:right w:type="dxa" w:w="90"/>
            </w:tcMar>
            <w:vAlign w:val="center"/>
          </w:tcPr>
          <w:p>
            <w:pPr>
              <w:spacing w:after="20"/>
              <w:jc w:val="left"/>
            </w:pPr>
            <w:r>
              <w:rPr>
                <w:color w:val="1F3050"/>
                <w:sz w:val="17"/>
                <w:szCs w:val="17"/>
              </w:rPr>
              <w:t xml:space="preserve">Détente lente côté grand public ; le carnet « réel » se dévoile (annulations).</w:t>
            </w:r>
          </w:p>
        </w:tc>
        <w:tc>
          <w:tcPr>
            <w:tcW w:type="dxa" w:w="3426"/>
            <w:tcMar>
              <w:top w:type="dxa" w:w="50"/>
              <w:left w:type="dxa" w:w="90"/>
              <w:bottom w:type="dxa" w:w="50"/>
              <w:right w:type="dxa" w:w="90"/>
            </w:tcMar>
            <w:vAlign w:val="center"/>
          </w:tcPr>
          <w:p>
            <w:pPr>
              <w:spacing w:after="20"/>
              <w:jc w:val="left"/>
            </w:pPr>
            <w:r>
              <w:rPr>
                <w:color w:val="1F3050"/>
                <w:sz w:val="17"/>
                <w:szCs w:val="17"/>
              </w:rPr>
              <w:t xml:space="preserve">Début 2022</w:t>
            </w:r>
          </w:p>
        </w:tc>
      </w:tr>
    </w:tbl>
    <w:p>
      <w:pPr>
        <w:spacing w:after="160"/>
      </w:pPr>
    </w:p>
    <w:p>
      <w:pPr>
        <w:pStyle w:val="Heading2"/>
        <w:spacing w:after="130" w:before="260"/>
      </w:pPr>
      <w:r>
        <w:t xml:space="preserve">5.6 Ce que chaque rôle doit vivre</w:t>
      </w:r>
    </w:p>
    <w:p>
      <w:pPr>
        <w:pStyle w:val="ListParagraph"/>
        <w:numPr>
          <w:ilvl w:val="0"/>
          <w:numId w:val="3"/>
        </w:numPr>
        <w:spacing w:after="60" w:line="264"/>
        <w:jc w:val="both"/>
      </w:pPr>
      <w:r>
        <w:rPr>
          <w:b/>
          <w:bCs/>
        </w:rPr>
        <w:t xml:space="preserve">Orbitalys (C1) : </w:t>
      </w:r>
      <w:r>
        <w:t xml:space="preserve">la pression contractuelle. Ne voit la crise qu'à travers la presse et AvioSys ; le test HA5 (sur-réaction aux gros titres) se joue surtout ici.</w:t>
      </w:r>
    </w:p>
    <w:p>
      <w:pPr>
        <w:pStyle w:val="ListParagraph"/>
        <w:numPr>
          <w:ilvl w:val="0"/>
          <w:numId w:val="3"/>
        </w:numPr>
        <w:spacing w:after="60" w:line="264"/>
        <w:jc w:val="both"/>
      </w:pPr>
      <w:r>
        <w:rPr>
          <w:b/>
          <w:bCs/>
        </w:rPr>
        <w:t xml:space="preserve">AvioSys (C2) : </w:t>
      </w:r>
      <w:r>
        <w:t xml:space="preserve">le compte à rebours du stock qualifié (11 puis 7 semaines de couverture), sans substitution possible (toute substitution vaut six mois de requalification). La montée d'angoisse la plus mécanique du jeu.</w:t>
      </w:r>
    </w:p>
    <w:p>
      <w:pPr>
        <w:pStyle w:val="ListParagraph"/>
        <w:numPr>
          <w:ilvl w:val="0"/>
          <w:numId w:val="3"/>
        </w:numPr>
        <w:spacing w:after="60" w:line="264"/>
        <w:jc w:val="both"/>
      </w:pPr>
      <w:r>
        <w:rPr>
          <w:b/>
          <w:bCs/>
        </w:rPr>
        <w:t xml:space="preserve">Électis (C3) : </w:t>
      </w:r>
      <w:r>
        <w:t xml:space="preserve">les arbitrages impossibles entre lignes clients, l'achat au spot (12 fois le prix catalogue), puis sa propre perte de capacité (T12).</w:t>
      </w:r>
    </w:p>
    <w:p>
      <w:pPr>
        <w:pStyle w:val="ListParagraph"/>
        <w:numPr>
          <w:ilvl w:val="0"/>
          <w:numId w:val="3"/>
        </w:numPr>
        <w:spacing w:after="60" w:line="264"/>
        <w:jc w:val="both"/>
      </w:pPr>
      <w:r>
        <w:rPr>
          <w:b/>
          <w:bCs/>
        </w:rPr>
        <w:t xml:space="preserve">CompoDis (C4) : </w:t>
      </w:r>
      <w:r>
        <w:t xml:space="preserve">l'œil du cyclone informationnel : il voit tout le monde paniquer et participe lui-même au bullwhip (T13).</w:t>
      </w:r>
    </w:p>
    <w:p>
      <w:pPr>
        <w:pStyle w:val="ListParagraph"/>
        <w:numPr>
          <w:ilvl w:val="0"/>
          <w:numId w:val="3"/>
        </w:numPr>
        <w:spacing w:after="60" w:line="264"/>
        <w:jc w:val="both"/>
      </w:pPr>
      <w:r>
        <w:rPr>
          <w:b/>
          <w:bCs/>
        </w:rPr>
        <w:t xml:space="preserve">TransGlobal (C5) : </w:t>
      </w:r>
      <w:r>
        <w:t xml:space="preserve">les crises exogènes en rafale (Suez, backend, congestion) ; habitué au court terme, déstabilisé par la durée.</w:t>
      </w:r>
    </w:p>
    <w:p>
      <w:pPr>
        <w:pStyle w:val="ListParagraph"/>
        <w:numPr>
          <w:ilvl w:val="0"/>
          <w:numId w:val="3"/>
        </w:numPr>
        <w:spacing w:after="60" w:line="264"/>
        <w:jc w:val="both"/>
      </w:pPr>
      <w:r>
        <w:rPr>
          <w:b/>
          <w:bCs/>
        </w:rPr>
        <w:t xml:space="preserve">NovaFab (C6) : </w:t>
      </w:r>
      <w:r>
        <w:t xml:space="preserve">l'asymétrie d'information : il SAIT (données internes) ce que les autres devinent. Son Ud honnête face à sa communication corporate.</w:t>
      </w:r>
    </w:p>
    <w:p>
      <w:pPr>
        <w:pStyle w:val="ListParagraph"/>
        <w:numPr>
          <w:ilvl w:val="0"/>
          <w:numId w:val="3"/>
        </w:numPr>
        <w:spacing w:after="60" w:line="264"/>
        <w:jc w:val="both"/>
      </w:pPr>
      <w:r>
        <w:rPr>
          <w:b/>
          <w:bCs/>
        </w:rPr>
        <w:t xml:space="preserve">Meridian (C7) : </w:t>
      </w:r>
      <w:r>
        <w:t xml:space="preserve">la fausse position de sauveur : sollicité de toutes parts, incapable d'aider. Le rôle le plus contre-intuitif : l'urgence des autres ne fait pas la sienne.</w:t>
      </w:r>
    </w:p>
    <w:p>
      <w:pPr>
        <w:pStyle w:val="ListParagraph"/>
        <w:numPr>
          <w:ilvl w:val="0"/>
          <w:numId w:val="3"/>
        </w:numPr>
        <w:spacing w:after="60" w:line="264"/>
        <w:jc w:val="both"/>
      </w:pPr>
      <w:r>
        <w:rPr>
          <w:b/>
          <w:bCs/>
        </w:rPr>
        <w:t xml:space="preserve">SilPure (C8) : </w:t>
      </w:r>
      <w:r>
        <w:t xml:space="preserve">le flegme long-termiste : carnet plein, contrats honorés, hausse répercutée. Un Ur objectivement modéré et une tension narrative faible : le contrepoint qui teste la sur-déclaration par contagion (HA5).</w:t>
      </w:r>
    </w:p>
    <w:p>
      <w:pPr>
        <w:pStyle w:val="Heading2"/>
        <w:spacing w:after="130" w:before="260"/>
      </w:pPr>
      <w:r>
        <w:t xml:space="preserve">5.7 Personas et règle d'écriture HC9</w:t>
      </w:r>
    </w:p>
    <w:p>
      <w:pPr>
        <w:spacing w:after="120" w:line="276"/>
        <w:jc w:val="both"/>
      </w:pPr>
      <w:r>
        <w:t xml:space="preserve">Chaque rôle reçoit un persona en cinq traits (ton, vocabulaire, peur principale, réflexe de crise, angle cognitif). La règle d'écriture est stricte : le persona décrit comment l'entreprise parle et ce qu'elle craint, jamais combien il faut s'inquiéter à un tour donné ; ce jugement appartient au consultant, c'est lui qu'on mesure. Exemples : AvioSys est « ingénieur, précis, prudent », pense en semaines de couverture et a pour biais le statu quo (ne jamais changer un composant qualifié) ; NovaFab est « corporate, posé, sûr de soi », craint de sur-investir dans une capacité qui se retournera, et sait l'état réel de son carnet tout en communiquant prudemment ; SilPure refuse de casser une relation de vingt ans pour un gain ponctuel.</w:t>
      </w:r>
    </w:p>
    <w:p>
      <w:pPr>
        <w:pStyle w:val="Heading2"/>
        <w:spacing w:after="130" w:before="260"/>
      </w:pPr>
      <w:r>
        <w:t xml:space="preserve">5.8 Les douze événements moteur</w:t>
      </w:r>
    </w:p>
    <w:p>
      <w:pPr>
        <w:spacing w:after="120" w:line="276"/>
        <w:jc w:val="both"/>
      </w:pPr>
      <w:r>
        <w:t xml:space="preserve">Neuf tours portent des événements calibrés (douze injections au total), validés champ à champ contre le catalogue du moteur. Un choix d'encodage est documenté : le gel du Texas est un événement accident (arrêt de production, révision bayésienne, récupération, cliquet de sévérité) et non une perte_capacite (qui réduirait le volume de stockage), mécaniquement plus fidèle.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700"/>
        <w:gridCol w:w="1500"/>
        <w:gridCol w:w="1900"/>
        <w:gridCol w:w="2600"/>
        <w:gridCol w:w="2326"/>
      </w:tblGrid>
      <w:tr>
        <w:trPr>
          <w:tblHeader/>
        </w:trPr>
        <w:tc>
          <w:tcPr>
            <w:tcW w:type="dxa" w:w="700"/>
            <w:shd w:fill="0072BC" w:val="clear"/>
            <w:tcMar>
              <w:top w:type="dxa" w:w="50"/>
              <w:left w:type="dxa" w:w="90"/>
              <w:bottom w:type="dxa" w:w="50"/>
              <w:right w:type="dxa" w:w="90"/>
            </w:tcMar>
            <w:vAlign w:val="center"/>
          </w:tcPr>
          <w:p>
            <w:pPr>
              <w:spacing w:after="20"/>
              <w:jc w:val="left"/>
            </w:pPr>
            <w:r>
              <w:rPr>
                <w:b/>
                <w:bCs/>
                <w:color w:val="FFFFFF"/>
                <w:sz w:val="17"/>
                <w:szCs w:val="17"/>
              </w:rPr>
              <w:t xml:space="preserve">Tour</w:t>
            </w:r>
          </w:p>
        </w:tc>
        <w:tc>
          <w:tcPr>
            <w:tcW w:type="dxa" w:w="1500"/>
            <w:shd w:fill="0072BC" w:val="clear"/>
            <w:tcMar>
              <w:top w:type="dxa" w:w="50"/>
              <w:left w:type="dxa" w:w="90"/>
              <w:bottom w:type="dxa" w:w="50"/>
              <w:right w:type="dxa" w:w="90"/>
            </w:tcMar>
            <w:vAlign w:val="center"/>
          </w:tcPr>
          <w:p>
            <w:pPr>
              <w:spacing w:after="20"/>
              <w:jc w:val="left"/>
            </w:pPr>
            <w:r>
              <w:rPr>
                <w:b/>
                <w:bCs/>
                <w:color w:val="FFFFFF"/>
                <w:sz w:val="17"/>
                <w:szCs w:val="17"/>
              </w:rPr>
              <w:t xml:space="preserve">Nœud</w:t>
            </w:r>
          </w:p>
        </w:tc>
        <w:tc>
          <w:tcPr>
            <w:tcW w:type="dxa" w:w="1900"/>
            <w:shd w:fill="0072BC" w:val="clear"/>
            <w:tcMar>
              <w:top w:type="dxa" w:w="50"/>
              <w:left w:type="dxa" w:w="90"/>
              <w:bottom w:type="dxa" w:w="50"/>
              <w:right w:type="dxa" w:w="90"/>
            </w:tcMar>
            <w:vAlign w:val="center"/>
          </w:tcPr>
          <w:p>
            <w:pPr>
              <w:spacing w:after="20"/>
              <w:jc w:val="left"/>
            </w:pPr>
            <w:r>
              <w:rPr>
                <w:b/>
                <w:bCs/>
                <w:color w:val="FFFFFF"/>
                <w:sz w:val="17"/>
                <w:szCs w:val="17"/>
              </w:rPr>
              <w:t xml:space="preserve">Type</w:t>
            </w:r>
          </w:p>
        </w:tc>
        <w:tc>
          <w:tcPr>
            <w:tcW w:type="dxa" w:w="2600"/>
            <w:shd w:fill="0072BC" w:val="clear"/>
            <w:tcMar>
              <w:top w:type="dxa" w:w="50"/>
              <w:left w:type="dxa" w:w="90"/>
              <w:bottom w:type="dxa" w:w="50"/>
              <w:right w:type="dxa" w:w="90"/>
            </w:tcMar>
            <w:vAlign w:val="center"/>
          </w:tcPr>
          <w:p>
            <w:pPr>
              <w:spacing w:after="20"/>
              <w:jc w:val="left"/>
            </w:pPr>
            <w:r>
              <w:rPr>
                <w:b/>
                <w:bCs/>
                <w:color w:val="FFFFFF"/>
                <w:sz w:val="17"/>
                <w:szCs w:val="17"/>
              </w:rPr>
              <w:t xml:space="preserve">Paramètres</w:t>
            </w:r>
          </w:p>
        </w:tc>
        <w:tc>
          <w:tcPr>
            <w:tcW w:type="dxa" w:w="2326"/>
            <w:shd w:fill="0072BC" w:val="clear"/>
            <w:tcMar>
              <w:top w:type="dxa" w:w="50"/>
              <w:left w:type="dxa" w:w="90"/>
              <w:bottom w:type="dxa" w:w="50"/>
              <w:right w:type="dxa" w:w="90"/>
            </w:tcMar>
            <w:vAlign w:val="center"/>
          </w:tcPr>
          <w:p>
            <w:pPr>
              <w:spacing w:after="20"/>
              <w:jc w:val="left"/>
            </w:pPr>
            <w:r>
              <w:rPr>
                <w:b/>
                <w:bCs/>
                <w:color w:val="FFFFFF"/>
                <w:sz w:val="17"/>
                <w:szCs w:val="17"/>
              </w:rPr>
              <w:t xml:space="preserve">Ancrage</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T3</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pic_demande</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demande 110 (base 100)</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Recommandes auto, nov. 2020</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T5</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retard_fournisseur</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retard 2 sem. réelles (77.3 h)</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Mode allocation, janv. 2021</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T6</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accident</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arrêt 4 sem. (154.6 h), gravité critique</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Gel Texas, févr. 2021</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T7</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pic_demande</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demande 125</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Report après incendie Renesas, mars 2021</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T7</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TransGlobal</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perturbation_transport</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retard 6 j (33.1 h), surcoût 15 000</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Ever Given, Suez, mars 2021</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T10</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rupture_matiere</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durée 8 sem. (309.3 h), criticité 0.7</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Rationnement d'eau ultrapure, juin 2021</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T12</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Électis</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perte_capacite</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30 % du volume perdu</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Backend Malaisie, août 2021</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T12</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TransGlobal</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perturbation_transport</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retard 2 sem. (77.3 h), surcoût 20 000</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Bascule fret aérien, août 2021</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T13</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pic_demande</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demande 160</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Bullwhip, sur-commandes, sept. 2021</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T14</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TransGlobal</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perturbation_transport</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retard 3 sem. (116.0 h), surcoût 30 000</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Congestion LA/Long Beach, oct. 2021</w:t>
            </w:r>
          </w:p>
        </w:tc>
      </w:tr>
      <w:tr>
        <w:tc>
          <w:tcPr>
            <w:tcW w:type="dxa" w:w="700"/>
            <w:tcMar>
              <w:top w:type="dxa" w:w="50"/>
              <w:left w:type="dxa" w:w="90"/>
              <w:bottom w:type="dxa" w:w="50"/>
              <w:right w:type="dxa" w:w="90"/>
            </w:tcMar>
            <w:vAlign w:val="center"/>
          </w:tcPr>
          <w:p>
            <w:pPr>
              <w:spacing w:after="20"/>
              <w:jc w:val="left"/>
            </w:pPr>
            <w:r>
              <w:rPr>
                <w:color w:val="1F3050"/>
                <w:sz w:val="17"/>
                <w:szCs w:val="17"/>
              </w:rPr>
              <w:t xml:space="preserve">T14</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hausse_tarif</w:t>
            </w:r>
          </w:p>
        </w:tc>
        <w:tc>
          <w:tcPr>
            <w:tcW w:type="dxa" w:w="2600"/>
            <w:tcMar>
              <w:top w:type="dxa" w:w="50"/>
              <w:left w:type="dxa" w:w="90"/>
              <w:bottom w:type="dxa" w:w="50"/>
              <w:right w:type="dxa" w:w="90"/>
            </w:tcMar>
            <w:vAlign w:val="center"/>
          </w:tcPr>
          <w:p>
            <w:pPr>
              <w:spacing w:after="20"/>
              <w:jc w:val="left"/>
            </w:pPr>
            <w:r>
              <w:rPr>
                <w:color w:val="1F3050"/>
                <w:sz w:val="17"/>
                <w:szCs w:val="17"/>
              </w:rPr>
              <w:t xml:space="preserve">+25 %</w:t>
            </w:r>
          </w:p>
        </w:tc>
        <w:tc>
          <w:tcPr>
            <w:tcW w:type="dxa" w:w="2326"/>
            <w:tcMar>
              <w:top w:type="dxa" w:w="50"/>
              <w:left w:type="dxa" w:w="90"/>
              <w:bottom w:type="dxa" w:w="50"/>
              <w:right w:type="dxa" w:w="90"/>
            </w:tcMar>
            <w:vAlign w:val="center"/>
          </w:tcPr>
          <w:p>
            <w:pPr>
              <w:spacing w:after="20"/>
              <w:jc w:val="left"/>
            </w:pPr>
            <w:r>
              <w:rPr>
                <w:color w:val="1F3050"/>
                <w:sz w:val="17"/>
                <w:szCs w:val="17"/>
              </w:rPr>
              <w:t xml:space="preserve">Majorations, primes spot, oct. 2021</w:t>
            </w:r>
          </w:p>
        </w:tc>
      </w:tr>
      <w:tr>
        <w:tc>
          <w:tcPr>
            <w:tcW w:type="dxa" w:w="700"/>
            <w:shd w:fill="EDF3F9" w:val="clear"/>
            <w:tcMar>
              <w:top w:type="dxa" w:w="50"/>
              <w:left w:type="dxa" w:w="90"/>
              <w:bottom w:type="dxa" w:w="50"/>
              <w:right w:type="dxa" w:w="90"/>
            </w:tcMar>
            <w:vAlign w:val="center"/>
          </w:tcPr>
          <w:p>
            <w:pPr>
              <w:spacing w:after="20"/>
              <w:jc w:val="left"/>
            </w:pPr>
            <w:r>
              <w:rPr>
                <w:color w:val="1F3050"/>
                <w:sz w:val="17"/>
                <w:szCs w:val="17"/>
              </w:rPr>
              <w:t xml:space="preserve">T16</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SilPure</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hausse_tarif</w:t>
            </w:r>
          </w:p>
        </w:tc>
        <w:tc>
          <w:tcPr>
            <w:tcW w:type="dxa" w:w="2600"/>
            <w:shd w:fill="EDF3F9" w:val="clear"/>
            <w:tcMar>
              <w:top w:type="dxa" w:w="50"/>
              <w:left w:type="dxa" w:w="90"/>
              <w:bottom w:type="dxa" w:w="50"/>
              <w:right w:type="dxa" w:w="90"/>
            </w:tcMar>
            <w:vAlign w:val="center"/>
          </w:tcPr>
          <w:p>
            <w:pPr>
              <w:spacing w:after="20"/>
              <w:jc w:val="left"/>
            </w:pPr>
            <w:r>
              <w:rPr>
                <w:color w:val="1F3050"/>
                <w:sz w:val="17"/>
                <w:szCs w:val="17"/>
              </w:rPr>
              <w:t xml:space="preserve">+18 %</w:t>
            </w:r>
          </w:p>
        </w:tc>
        <w:tc>
          <w:tcPr>
            <w:tcW w:type="dxa" w:w="2326"/>
            <w:shd w:fill="EDF3F9" w:val="clear"/>
            <w:tcMar>
              <w:top w:type="dxa" w:w="50"/>
              <w:left w:type="dxa" w:w="90"/>
              <w:bottom w:type="dxa" w:w="50"/>
              <w:right w:type="dxa" w:w="90"/>
            </w:tcMar>
            <w:vAlign w:val="center"/>
          </w:tcPr>
          <w:p>
            <w:pPr>
              <w:spacing w:after="20"/>
              <w:jc w:val="left"/>
            </w:pPr>
            <w:r>
              <w:rPr>
                <w:color w:val="1F3050"/>
                <w:sz w:val="17"/>
                <w:szCs w:val="17"/>
              </w:rPr>
              <w:t xml:space="preserve">Répercussion polysilicium, déc. 2021</w:t>
            </w:r>
          </w:p>
        </w:tc>
      </w:tr>
    </w:tbl>
    <w:p>
      <w:pPr>
        <w:spacing w:after="160"/>
      </w:pPr>
    </w:p>
    <w:p>
      <w:pPr>
        <w:pStyle w:val="Heading2"/>
        <w:spacing w:after="130" w:before="260"/>
      </w:pPr>
      <w:r>
        <w:t xml:space="preserve">5.9 Jalons : dérives scriptées et re-planifications officielles</w:t>
      </w:r>
    </w:p>
    <w:p>
      <w:pPr>
        <w:spacing w:after="120" w:line="276"/>
        <w:jc w:val="both"/>
      </w:pPr>
      <w:r>
        <w:t xml:space="preserve">Dix-huit jalons structurent le programme (livraisons HÉLIOS-1 et HÉLIOS-2 pour Orbitalys, quatre lots avioniques, trois séries de cartes, couvertures de composants, contrats de flux, allocations wafers, créneaux engagés, contrats annuels). Trois mécanismes les font vivre :</w:t>
      </w:r>
    </w:p>
    <w:p>
      <w:pPr>
        <w:pStyle w:val="ListParagraph"/>
        <w:numPr>
          <w:ilvl w:val="0"/>
          <w:numId w:val="3"/>
        </w:numPr>
        <w:spacing w:after="60" w:line="264"/>
        <w:jc w:val="both"/>
      </w:pPr>
      <w:r>
        <w:t xml:space="preserve">Le progrès nominal suit l'horloge (progress = min((tour + 1 − début) / durée, 1)) ; seules les dérives par rapport au nominal sont scriptées, par exemple le lot avionique 2 d'AvioSys qui décroche dès T9 (0.60) quand son stock qualifié fond, ou HÉLIOS-1 à 0.88 à son échéance T8.</w:t>
      </w:r>
    </w:p>
    <w:p>
      <w:pPr>
        <w:pStyle w:val="ListParagraph"/>
        <w:numPr>
          <w:ilvl w:val="0"/>
          <w:numId w:val="3"/>
        </w:numPr>
        <w:spacing w:after="60" w:line="264"/>
        <w:jc w:val="both"/>
      </w:pPr>
      <w:r>
        <w:t xml:space="preserve">Les jalons en dérive sont re-planifiés officiellement, comme dans une vraie revue de programme : HÉLIOS-1 passe de T8 à la semaine 14 lors de l'annonce de T13 (le courriel de Claire Vasseur EST la re-planification), HÉLIOS-2 de T16 à la semaine 19. Sans re-planification, un jalon dépassé épinglerait u_time à 1.0 en permanence (retard avéré, comportement documenté du modèle).</w:t>
      </w:r>
    </w:p>
    <w:p>
      <w:pPr>
        <w:pStyle w:val="ListParagraph"/>
        <w:numPr>
          <w:ilvl w:val="0"/>
          <w:numId w:val="3"/>
        </w:numPr>
        <w:spacing w:after="60" w:line="264"/>
        <w:jc w:val="both"/>
      </w:pPr>
      <w:r>
        <w:t xml:space="preserve">Chaque nœud garde toujours au moins un jalon ACTIF jusqu'à la fin : le moteur passe un nœud DONE (et son Ur local à zéro) quand tous ses jalons sont terminés, or une entreprise réelle a toujours une prochaine livraison.</w:t>
      </w:r>
    </w:p>
    <w:p>
      <w:pPr>
        <w:spacing w:after="120" w:line="276"/>
        <w:jc w:val="both"/>
      </w:pPr>
      <w:r>
        <w:t xml:space="preserve">Un détail de calibration illustre le niveau de soin requis : la deadline du contrat wafers de SilPure est à la semaine 15 et non 14, parce qu'à l'échéance exacte l'égalité flottante t = d* bascule u_time en retard avéré pendant un tour, artefact qui aurait pollué le test HA5 à T13 (constaté au dry run v4).</w:t>
      </w:r>
    </w:p>
    <w:p>
      <w:pPr>
        <w:pStyle w:val="Heading2"/>
        <w:spacing w:after="130" w:before="260"/>
      </w:pPr>
      <w:r>
        <w:t xml:space="preserve">5.10 Contrôles insérés dans la narration</w:t>
      </w:r>
    </w:p>
    <w:p>
      <w:pPr>
        <w:pStyle w:val="ListParagraph"/>
        <w:numPr>
          <w:ilvl w:val="0"/>
          <w:numId w:val="3"/>
        </w:numPr>
        <w:spacing w:after="60" w:line="264"/>
        <w:jc w:val="both"/>
      </w:pPr>
      <w:r>
        <w:rPr>
          <w:b/>
          <w:bCs/>
        </w:rPr>
        <w:t xml:space="preserve">Placebo (HC4) : </w:t>
      </w:r>
      <w:r>
        <w:t xml:space="preserve">(AvioSys, T9) et (SilPure, T15) reçoivent une fiche à continuation alternative plausible : accalmie annoncée, reports résorbés, stock remonté à 10 semaines pour AvioSys ; polysilicium en recul et demandes spot en berne pour SilPure. Le tableau de données reste identique, seul le récit est manipulé.</w:t>
      </w:r>
    </w:p>
    <w:p>
      <w:pPr>
        <w:pStyle w:val="ListParagraph"/>
        <w:numPr>
          <w:ilvl w:val="0"/>
          <w:numId w:val="3"/>
        </w:numPr>
        <w:spacing w:after="60" w:line="264"/>
        <w:jc w:val="both"/>
      </w:pPr>
      <w:r>
        <w:rPr>
          <w:b/>
          <w:bCs/>
        </w:rPr>
        <w:t xml:space="preserve">Signal faible (T4) : </w:t>
      </w:r>
      <w:r>
        <w:t xml:space="preserve">la presse évoque une « tension » sans événement moteur : mesure qui, parmi les huit, réagit au bruit médiatique seul.</w:t>
      </w:r>
    </w:p>
    <w:p>
      <w:pPr>
        <w:pStyle w:val="ListParagraph"/>
        <w:numPr>
          <w:ilvl w:val="0"/>
          <w:numId w:val="3"/>
        </w:numPr>
        <w:spacing w:after="60" w:line="264"/>
        <w:jc w:val="both"/>
      </w:pPr>
      <w:r>
        <w:rPr>
          <w:b/>
          <w:bCs/>
        </w:rPr>
        <w:t xml:space="preserve">Décrue (T17-T18) : </w:t>
      </w:r>
      <w:r>
        <w:t xml:space="preserve">aucun événement : mesure l'hystérésis de la déclaration (HA6).</w:t>
      </w:r>
    </w:p>
    <w:p>
      <w:pPr>
        <w:pStyle w:val="Heading1"/>
        <w:pageBreakBefore/>
        <w:spacing w:after="180" w:before="240"/>
      </w:pPr>
      <w:r>
        <w:t xml:space="preserve">6. Données réelles et pipeline de préparation</w:t>
      </w:r>
    </w:p>
    <w:p>
      <w:pPr>
        <w:pStyle w:val="Heading2"/>
        <w:spacing w:after="130" w:before="260"/>
      </w:pPr>
      <w:r>
        <w:t xml:space="preserve">6.1 Sources acquises et fenêtre temporelle</w:t>
      </w:r>
    </w:p>
    <w:p>
      <w:pPr>
        <w:spacing w:after="120" w:line="276"/>
        <w:jc w:val="both"/>
      </w:pPr>
      <w:r>
        <w:t xml:space="preserve">L'acquisition (</w:t>
      </w:r>
      <w:r>
        <w:rPr>
          <w:rFonts w:ascii="Consolas" w:cs="Consolas" w:eastAsia="Consolas" w:hAnsi="Consolas"/>
          <w:color w:val="005A96"/>
          <w:sz w:val="18"/>
          <w:szCs w:val="18"/>
        </w:rPr>
        <w:t xml:space="preserve">scripts/fetch_data.py</w:t>
      </w:r>
      <w:r>
        <w:t xml:space="preserve">) couvre la fenêtre 2020-07 à 2022-02 (les tours T1 à T18 plus deux mois de marge pour la baseline). Six séries INSEE sont téléchargées par l'API BDM (SDMX-ML, licence ouverte Etalab), le rapport WSTS Historical Billings est récupéré en xlsx, et chaque fichier est consigné dans </w:t>
      </w:r>
      <w:r>
        <w:rPr>
          <w:rFonts w:ascii="Consolas" w:cs="Consolas" w:eastAsia="Consolas" w:hAnsi="Consolas"/>
          <w:color w:val="005A96"/>
          <w:sz w:val="18"/>
          <w:szCs w:val="18"/>
        </w:rPr>
        <w:t xml:space="preserve">data/raw/MANIFEST.md</w:t>
      </w:r>
      <w:r>
        <w:t xml:space="preserve"> avec son empreinte SHA-256, sa granularité et sa couverture.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2300"/>
        <w:gridCol w:w="1150"/>
        <w:gridCol w:w="4250"/>
        <w:gridCol w:w="1326"/>
      </w:tblGrid>
      <w:tr>
        <w:trPr>
          <w:tblHeader/>
        </w:trPr>
        <w:tc>
          <w:tcPr>
            <w:tcW w:type="dxa" w:w="2300"/>
            <w:shd w:fill="0072BC" w:val="clear"/>
            <w:tcMar>
              <w:top w:type="dxa" w:w="50"/>
              <w:left w:type="dxa" w:w="90"/>
              <w:bottom w:type="dxa" w:w="50"/>
              <w:right w:type="dxa" w:w="90"/>
            </w:tcMar>
            <w:vAlign w:val="center"/>
          </w:tcPr>
          <w:p>
            <w:pPr>
              <w:spacing w:after="20"/>
              <w:jc w:val="left"/>
            </w:pPr>
            <w:r>
              <w:rPr>
                <w:b/>
                <w:bCs/>
                <w:color w:val="FFFFFF"/>
                <w:sz w:val="17"/>
                <w:szCs w:val="17"/>
              </w:rPr>
              <w:t xml:space="preserve">Série (slug)</w:t>
            </w:r>
          </w:p>
        </w:tc>
        <w:tc>
          <w:tcPr>
            <w:tcW w:type="dxa" w:w="1150"/>
            <w:shd w:fill="0072BC" w:val="clear"/>
            <w:tcMar>
              <w:top w:type="dxa" w:w="50"/>
              <w:left w:type="dxa" w:w="90"/>
              <w:bottom w:type="dxa" w:w="50"/>
              <w:right w:type="dxa" w:w="90"/>
            </w:tcMar>
            <w:vAlign w:val="center"/>
          </w:tcPr>
          <w:p>
            <w:pPr>
              <w:spacing w:after="20"/>
              <w:jc w:val="left"/>
            </w:pPr>
            <w:r>
              <w:rPr>
                <w:b/>
                <w:bCs/>
                <w:color w:val="FFFFFF"/>
                <w:sz w:val="17"/>
                <w:szCs w:val="17"/>
              </w:rPr>
              <w:t xml:space="preserve">idbank</w:t>
            </w:r>
          </w:p>
        </w:tc>
        <w:tc>
          <w:tcPr>
            <w:tcW w:type="dxa" w:w="4250"/>
            <w:shd w:fill="0072BC" w:val="clear"/>
            <w:tcMar>
              <w:top w:type="dxa" w:w="50"/>
              <w:left w:type="dxa" w:w="90"/>
              <w:bottom w:type="dxa" w:w="50"/>
              <w:right w:type="dxa" w:w="90"/>
            </w:tcMar>
            <w:vAlign w:val="center"/>
          </w:tcPr>
          <w:p>
            <w:pPr>
              <w:spacing w:after="20"/>
              <w:jc w:val="left"/>
            </w:pPr>
            <w:r>
              <w:rPr>
                <w:b/>
                <w:bCs/>
                <w:color w:val="FFFFFF"/>
                <w:sz w:val="17"/>
                <w:szCs w:val="17"/>
              </w:rPr>
              <w:t xml:space="preserve">Description</w:t>
            </w:r>
          </w:p>
        </w:tc>
        <w:tc>
          <w:tcPr>
            <w:tcW w:type="dxa" w:w="1326"/>
            <w:shd w:fill="0072BC" w:val="clear"/>
            <w:tcMar>
              <w:top w:type="dxa" w:w="50"/>
              <w:left w:type="dxa" w:w="90"/>
              <w:bottom w:type="dxa" w:w="50"/>
              <w:right w:type="dxa" w:w="90"/>
            </w:tcMar>
            <w:vAlign w:val="center"/>
          </w:tcPr>
          <w:p>
            <w:pPr>
              <w:spacing w:after="20"/>
              <w:jc w:val="left"/>
            </w:pPr>
            <w:r>
              <w:rPr>
                <w:b/>
                <w:bCs/>
                <w:color w:val="FFFFFF"/>
                <w:sz w:val="17"/>
                <w:szCs w:val="17"/>
              </w:rPr>
              <w:t xml:space="preserve">Granularité</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insee_ipi_naf261</w:t>
            </w:r>
          </w:p>
        </w:tc>
        <w:tc>
          <w:tcPr>
            <w:tcW w:type="dxa" w:w="1150"/>
            <w:tcMar>
              <w:top w:type="dxa" w:w="50"/>
              <w:left w:type="dxa" w:w="90"/>
              <w:bottom w:type="dxa" w:w="50"/>
              <w:right w:type="dxa" w:w="90"/>
            </w:tcMar>
            <w:vAlign w:val="center"/>
          </w:tcPr>
          <w:p>
            <w:pPr>
              <w:spacing w:after="20"/>
              <w:jc w:val="left"/>
            </w:pPr>
            <w:r>
              <w:rPr>
                <w:color w:val="1F3050"/>
                <w:sz w:val="17"/>
                <w:szCs w:val="17"/>
              </w:rPr>
              <w:t xml:space="preserve">010768009</w:t>
            </w:r>
          </w:p>
        </w:tc>
        <w:tc>
          <w:tcPr>
            <w:tcW w:type="dxa" w:w="4250"/>
            <w:tcMar>
              <w:top w:type="dxa" w:w="50"/>
              <w:left w:type="dxa" w:w="90"/>
              <w:bottom w:type="dxa" w:w="50"/>
              <w:right w:type="dxa" w:w="90"/>
            </w:tcMar>
            <w:vAlign w:val="center"/>
          </w:tcPr>
          <w:p>
            <w:pPr>
              <w:spacing w:after="20"/>
              <w:jc w:val="left"/>
            </w:pPr>
            <w:r>
              <w:rPr>
                <w:color w:val="1F3050"/>
                <w:sz w:val="17"/>
                <w:szCs w:val="17"/>
              </w:rPr>
              <w:t xml:space="preserve">Indice de production industrielle, fabrication de composants et cartes électroniques (NAF 26.1)</w:t>
            </w:r>
          </w:p>
        </w:tc>
        <w:tc>
          <w:tcPr>
            <w:tcW w:type="dxa" w:w="1326"/>
            <w:tcMar>
              <w:top w:type="dxa" w:w="50"/>
              <w:left w:type="dxa" w:w="90"/>
              <w:bottom w:type="dxa" w:w="50"/>
              <w:right w:type="dxa" w:w="90"/>
            </w:tcMar>
            <w:vAlign w:val="center"/>
          </w:tcPr>
          <w:p>
            <w:pPr>
              <w:spacing w:after="20"/>
              <w:jc w:val="left"/>
            </w:pPr>
            <w:r>
              <w:rPr>
                <w:color w:val="1F3050"/>
                <w:sz w:val="17"/>
                <w:szCs w:val="17"/>
              </w:rPr>
              <w:t xml:space="preserve">mensuelle</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insee_defaillances_ensemble</w:t>
            </w:r>
          </w:p>
        </w:tc>
        <w:tc>
          <w:tcPr>
            <w:tcW w:type="dxa" w:w="1150"/>
            <w:shd w:fill="EDF3F9" w:val="clear"/>
            <w:tcMar>
              <w:top w:type="dxa" w:w="50"/>
              <w:left w:type="dxa" w:w="90"/>
              <w:bottom w:type="dxa" w:w="50"/>
              <w:right w:type="dxa" w:w="90"/>
            </w:tcMar>
            <w:vAlign w:val="center"/>
          </w:tcPr>
          <w:p>
            <w:pPr>
              <w:spacing w:after="20"/>
              <w:jc w:val="left"/>
            </w:pPr>
            <w:r>
              <w:rPr>
                <w:color w:val="1F3050"/>
                <w:sz w:val="17"/>
                <w:szCs w:val="17"/>
              </w:rPr>
              <w:t xml:space="preserve">001656157</w:t>
            </w:r>
          </w:p>
        </w:tc>
        <w:tc>
          <w:tcPr>
            <w:tcW w:type="dxa" w:w="4250"/>
            <w:shd w:fill="EDF3F9" w:val="clear"/>
            <w:tcMar>
              <w:top w:type="dxa" w:w="50"/>
              <w:left w:type="dxa" w:w="90"/>
              <w:bottom w:type="dxa" w:w="50"/>
              <w:right w:type="dxa" w:w="90"/>
            </w:tcMar>
            <w:vAlign w:val="center"/>
          </w:tcPr>
          <w:p>
            <w:pPr>
              <w:spacing w:after="20"/>
              <w:jc w:val="left"/>
            </w:pPr>
            <w:r>
              <w:rPr>
                <w:color w:val="1F3050"/>
                <w:sz w:val="17"/>
                <w:szCs w:val="17"/>
              </w:rPr>
              <w:t xml:space="preserve">Défaillances d'entreprises, ensemble (CVS)</w:t>
            </w:r>
          </w:p>
        </w:tc>
        <w:tc>
          <w:tcPr>
            <w:tcW w:type="dxa" w:w="1326"/>
            <w:shd w:fill="EDF3F9" w:val="clear"/>
            <w:tcMar>
              <w:top w:type="dxa" w:w="50"/>
              <w:left w:type="dxa" w:w="90"/>
              <w:bottom w:type="dxa" w:w="50"/>
              <w:right w:type="dxa" w:w="90"/>
            </w:tcMar>
            <w:vAlign w:val="center"/>
          </w:tcPr>
          <w:p>
            <w:pPr>
              <w:spacing w:after="20"/>
              <w:jc w:val="left"/>
            </w:pPr>
            <w:r>
              <w:rPr>
                <w:color w:val="1F3050"/>
                <w:sz w:val="17"/>
                <w:szCs w:val="17"/>
              </w:rPr>
              <w:t xml:space="preserve">trimestrielle</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insee_defaillances_industrie</w:t>
            </w:r>
          </w:p>
        </w:tc>
        <w:tc>
          <w:tcPr>
            <w:tcW w:type="dxa" w:w="1150"/>
            <w:tcMar>
              <w:top w:type="dxa" w:w="50"/>
              <w:left w:type="dxa" w:w="90"/>
              <w:bottom w:type="dxa" w:w="50"/>
              <w:right w:type="dxa" w:w="90"/>
            </w:tcMar>
            <w:vAlign w:val="center"/>
          </w:tcPr>
          <w:p>
            <w:pPr>
              <w:spacing w:after="20"/>
              <w:jc w:val="left"/>
            </w:pPr>
            <w:r>
              <w:rPr>
                <w:color w:val="1F3050"/>
                <w:sz w:val="17"/>
                <w:szCs w:val="17"/>
              </w:rPr>
              <w:t xml:space="preserve">001656101</w:t>
            </w:r>
          </w:p>
        </w:tc>
        <w:tc>
          <w:tcPr>
            <w:tcW w:type="dxa" w:w="4250"/>
            <w:tcMar>
              <w:top w:type="dxa" w:w="50"/>
              <w:left w:type="dxa" w:w="90"/>
              <w:bottom w:type="dxa" w:w="50"/>
              <w:right w:type="dxa" w:w="90"/>
            </w:tcMar>
            <w:vAlign w:val="center"/>
          </w:tcPr>
          <w:p>
            <w:pPr>
              <w:spacing w:after="20"/>
              <w:jc w:val="left"/>
            </w:pPr>
            <w:r>
              <w:rPr>
                <w:color w:val="1F3050"/>
                <w:sz w:val="17"/>
                <w:szCs w:val="17"/>
              </w:rPr>
              <w:t xml:space="preserve">Défaillances d'entreprises, industrie</w:t>
            </w:r>
          </w:p>
        </w:tc>
        <w:tc>
          <w:tcPr>
            <w:tcW w:type="dxa" w:w="1326"/>
            <w:tcMar>
              <w:top w:type="dxa" w:w="50"/>
              <w:left w:type="dxa" w:w="90"/>
              <w:bottom w:type="dxa" w:w="50"/>
              <w:right w:type="dxa" w:w="90"/>
            </w:tcMar>
            <w:vAlign w:val="center"/>
          </w:tcPr>
          <w:p>
            <w:pPr>
              <w:spacing w:after="20"/>
              <w:jc w:val="left"/>
            </w:pPr>
            <w:r>
              <w:rPr>
                <w:color w:val="1F3050"/>
                <w:sz w:val="17"/>
                <w:szCs w:val="17"/>
              </w:rPr>
              <w:t xml:space="preserve">mensuelle</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insee_ipp_industrie</w:t>
            </w:r>
          </w:p>
        </w:tc>
        <w:tc>
          <w:tcPr>
            <w:tcW w:type="dxa" w:w="1150"/>
            <w:shd w:fill="EDF3F9" w:val="clear"/>
            <w:tcMar>
              <w:top w:type="dxa" w:w="50"/>
              <w:left w:type="dxa" w:w="90"/>
              <w:bottom w:type="dxa" w:w="50"/>
              <w:right w:type="dxa" w:w="90"/>
            </w:tcMar>
            <w:vAlign w:val="center"/>
          </w:tcPr>
          <w:p>
            <w:pPr>
              <w:spacing w:after="20"/>
              <w:jc w:val="left"/>
            </w:pPr>
            <w:r>
              <w:rPr>
                <w:color w:val="1F3050"/>
                <w:sz w:val="17"/>
                <w:szCs w:val="17"/>
              </w:rPr>
              <w:t xml:space="preserve">010764313</w:t>
            </w:r>
          </w:p>
        </w:tc>
        <w:tc>
          <w:tcPr>
            <w:tcW w:type="dxa" w:w="4250"/>
            <w:shd w:fill="EDF3F9" w:val="clear"/>
            <w:tcMar>
              <w:top w:type="dxa" w:w="50"/>
              <w:left w:type="dxa" w:w="90"/>
              <w:bottom w:type="dxa" w:w="50"/>
              <w:right w:type="dxa" w:w="90"/>
            </w:tcMar>
            <w:vAlign w:val="center"/>
          </w:tcPr>
          <w:p>
            <w:pPr>
              <w:spacing w:after="20"/>
              <w:jc w:val="left"/>
            </w:pPr>
            <w:r>
              <w:rPr>
                <w:color w:val="1F3050"/>
                <w:sz w:val="17"/>
                <w:szCs w:val="17"/>
              </w:rPr>
              <w:t xml:space="preserve">Indice de prix de production de l'industrie française, ensemble</w:t>
            </w:r>
          </w:p>
        </w:tc>
        <w:tc>
          <w:tcPr>
            <w:tcW w:type="dxa" w:w="1326"/>
            <w:shd w:fill="EDF3F9" w:val="clear"/>
            <w:tcMar>
              <w:top w:type="dxa" w:w="50"/>
              <w:left w:type="dxa" w:w="90"/>
              <w:bottom w:type="dxa" w:w="50"/>
              <w:right w:type="dxa" w:w="90"/>
            </w:tcMar>
            <w:vAlign w:val="center"/>
          </w:tcPr>
          <w:p>
            <w:pPr>
              <w:spacing w:after="20"/>
              <w:jc w:val="left"/>
            </w:pPr>
            <w:r>
              <w:rPr>
                <w:color w:val="1F3050"/>
                <w:sz w:val="17"/>
                <w:szCs w:val="17"/>
              </w:rPr>
              <w:t xml:space="preserve">mensuelle</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insee_tuc_manuf</w:t>
            </w:r>
          </w:p>
        </w:tc>
        <w:tc>
          <w:tcPr>
            <w:tcW w:type="dxa" w:w="1150"/>
            <w:tcMar>
              <w:top w:type="dxa" w:w="50"/>
              <w:left w:type="dxa" w:w="90"/>
              <w:bottom w:type="dxa" w:w="50"/>
              <w:right w:type="dxa" w:w="90"/>
            </w:tcMar>
            <w:vAlign w:val="center"/>
          </w:tcPr>
          <w:p>
            <w:pPr>
              <w:spacing w:after="20"/>
              <w:jc w:val="left"/>
            </w:pPr>
            <w:r>
              <w:rPr>
                <w:color w:val="1F3050"/>
                <w:sz w:val="17"/>
                <w:szCs w:val="17"/>
              </w:rPr>
              <w:t xml:space="preserve">001586738</w:t>
            </w:r>
          </w:p>
        </w:tc>
        <w:tc>
          <w:tcPr>
            <w:tcW w:type="dxa" w:w="4250"/>
            <w:tcMar>
              <w:top w:type="dxa" w:w="50"/>
              <w:left w:type="dxa" w:w="90"/>
              <w:bottom w:type="dxa" w:w="50"/>
              <w:right w:type="dxa" w:w="90"/>
            </w:tcMar>
            <w:vAlign w:val="center"/>
          </w:tcPr>
          <w:p>
            <w:pPr>
              <w:spacing w:after="20"/>
              <w:jc w:val="left"/>
            </w:pPr>
            <w:r>
              <w:rPr>
                <w:color w:val="1F3050"/>
                <w:sz w:val="17"/>
                <w:szCs w:val="17"/>
              </w:rPr>
              <w:t xml:space="preserve">Taux d'utilisation des capacités, industrie manufacturière</w:t>
            </w:r>
          </w:p>
        </w:tc>
        <w:tc>
          <w:tcPr>
            <w:tcW w:type="dxa" w:w="1326"/>
            <w:tcMar>
              <w:top w:type="dxa" w:w="50"/>
              <w:left w:type="dxa" w:w="90"/>
              <w:bottom w:type="dxa" w:w="50"/>
              <w:right w:type="dxa" w:w="90"/>
            </w:tcMar>
            <w:vAlign w:val="center"/>
          </w:tcPr>
          <w:p>
            <w:pPr>
              <w:spacing w:after="20"/>
              <w:jc w:val="left"/>
            </w:pPr>
            <w:r>
              <w:rPr>
                <w:color w:val="1F3050"/>
                <w:sz w:val="17"/>
                <w:szCs w:val="17"/>
              </w:rPr>
              <w:t xml:space="preserve">trimestrielle</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insee_ipp_composants</w:t>
            </w:r>
          </w:p>
        </w:tc>
        <w:tc>
          <w:tcPr>
            <w:tcW w:type="dxa" w:w="1150"/>
            <w:shd w:fill="EDF3F9" w:val="clear"/>
            <w:tcMar>
              <w:top w:type="dxa" w:w="50"/>
              <w:left w:type="dxa" w:w="90"/>
              <w:bottom w:type="dxa" w:w="50"/>
              <w:right w:type="dxa" w:w="90"/>
            </w:tcMar>
            <w:vAlign w:val="center"/>
          </w:tcPr>
          <w:p>
            <w:pPr>
              <w:spacing w:after="20"/>
              <w:jc w:val="left"/>
            </w:pPr>
            <w:r>
              <w:rPr>
                <w:color w:val="1F3050"/>
                <w:sz w:val="17"/>
                <w:szCs w:val="17"/>
              </w:rPr>
              <w:t xml:space="preserve">010764217</w:t>
            </w:r>
          </w:p>
        </w:tc>
        <w:tc>
          <w:tcPr>
            <w:tcW w:type="dxa" w:w="4250"/>
            <w:shd w:fill="EDF3F9" w:val="clear"/>
            <w:tcMar>
              <w:top w:type="dxa" w:w="50"/>
              <w:left w:type="dxa" w:w="90"/>
              <w:bottom w:type="dxa" w:w="50"/>
              <w:right w:type="dxa" w:w="90"/>
            </w:tcMar>
            <w:vAlign w:val="center"/>
          </w:tcPr>
          <w:p>
            <w:pPr>
              <w:spacing w:after="20"/>
              <w:jc w:val="left"/>
            </w:pPr>
            <w:r>
              <w:rPr>
                <w:color w:val="1F3050"/>
                <w:sz w:val="17"/>
                <w:szCs w:val="17"/>
              </w:rPr>
              <w:t xml:space="preserve">Indice de prix de production, CPF 26.1 composants et cartes électroniques</w:t>
            </w:r>
          </w:p>
        </w:tc>
        <w:tc>
          <w:tcPr>
            <w:tcW w:type="dxa" w:w="1326"/>
            <w:shd w:fill="EDF3F9" w:val="clear"/>
            <w:tcMar>
              <w:top w:type="dxa" w:w="50"/>
              <w:left w:type="dxa" w:w="90"/>
              <w:bottom w:type="dxa" w:w="50"/>
              <w:right w:type="dxa" w:w="90"/>
            </w:tcMar>
            <w:vAlign w:val="center"/>
          </w:tcPr>
          <w:p>
            <w:pPr>
              <w:spacing w:after="20"/>
              <w:jc w:val="left"/>
            </w:pPr>
            <w:r>
              <w:rPr>
                <w:color w:val="1F3050"/>
                <w:sz w:val="17"/>
                <w:szCs w:val="17"/>
              </w:rPr>
              <w:t xml:space="preserve">mensuelle</w:t>
            </w:r>
          </w:p>
        </w:tc>
      </w:tr>
    </w:tbl>
    <w:p>
      <w:pPr>
        <w:spacing w:after="160"/>
      </w:pPr>
    </w:p>
    <w:p>
      <w:pPr>
        <w:spacing w:after="120" w:line="276"/>
        <w:jc w:val="both"/>
      </w:pPr>
      <w:r>
        <w:t xml:space="preserve">À quoi s'ajoutent le WSTS Historical Billings Report (facturations mondiales mensuelles de semi-conducteurs, la série de référence du secteur) et les indices pays : WorldRiskIndex 2021 pour l'exposition environnementale, Worldwide Governance Indicators de la Banque mondiale pour le risque politique.</w:t>
      </w:r>
    </w:p>
    <w:p>
      <w:pPr>
        <w:pStyle w:val="Heading2"/>
        <w:spacing w:after="130" w:before="260"/>
      </w:pPr>
      <w:r>
        <w:t xml:space="preserve">6.2 Le contrôle d'authenticité HD5 : deux datasets Kaggle, deux verdicts</w:t>
      </w:r>
    </w:p>
    <w:p>
      <w:pPr>
        <w:spacing w:after="120" w:line="276"/>
        <w:jc w:val="both"/>
      </w:pPr>
      <w:r>
        <w:rPr>
          <w:i/>
          <w:iCs/>
        </w:rPr>
        <w:t xml:space="preserve">Semiconductor shortage affects.csv</w:t>
      </w:r>
      <w:r>
        <w:t xml:space="preserve"> (semiconductor-shortages19852021) est jugé AUTHENTIQUE et UTILISÉ : séries mensuelles américaines de type FRED/BLS (PPI semi-conducteurs, indices export/import, emploi sectoriel) de 1985 à novembre 2021, portant les signatures de réalité attendues : déclin séculaire du PPI (100.5 vers 55.3), inflexion haussière en 2021 (l'anomalie documentée de la crise), emploi cohérent avec les séries officielles. Il alimente le contexte de coût de NovaFab. Sa limite est assumée : la série s'arrête en novembre 2021, donc T16 à T18 ne reçoivent pas d'écriture et la dernière valeur persiste ; rien n'est inventé.</w:t>
      </w:r>
    </w:p>
    <w:p>
      <w:pPr>
        <w:spacing w:after="120" w:line="276"/>
        <w:jc w:val="both"/>
      </w:pPr>
      <w:r>
        <w:rPr>
          <w:i/>
          <w:iCs/>
        </w:rPr>
        <w:t xml:space="preserve">dynamic_supply_chain_logistics_dataset.csv</w:t>
      </w:r>
      <w:r>
        <w:t xml:space="preserve"> (logistics-and-supply-chain-dataset) est ÉCARTÉ : marqueurs clairs de données synthétiques générées pour l'entraînement de modèles (colonnes cibles pré-calculées comme delay_probability ou disruption_likelihood_score, coordonnées GPS éparpillées sur tout le territoire américain alors que la description annonce la Californie du Sud, distributions uniformément moyennes). Il est conservé dans data/raw/ pour trace mais jamais chargé par le pipeline ; TransGlobal reste piloté par les événements calibrés, comme prévu au plan.</w:t>
      </w:r>
    </w:p>
    <w:p>
      <w:pPr>
        <w:pStyle w:val="Heading2"/>
        <w:spacing w:after="130" w:before="260"/>
      </w:pPr>
      <w:r>
        <w:t xml:space="preserve">6.3 Séries recherchées et non retenues</w:t>
      </w:r>
    </w:p>
    <w:p>
      <w:pPr>
        <w:spacing w:after="120" w:line="276"/>
        <w:jc w:val="both"/>
      </w:pPr>
      <w:r>
        <w:t xml:space="preserve">Trois manques sont documentés plutôt que comblés artificiellement : aucun indice de fret public couvrant 2020-2022 sous licence exploitable n'a été identifié (le bloc coût de TransGlobal reste piloté par les surcoûts documentés des événements) ; aucune série publique de prix du silicium ou polysilicium en accès libre (le bloc coût de SilPure est piloté par l'événement hausse_tarif de T16, +18 % documenté) ; et les expositions pays n'exigent pas de série temporelle (baseline lente), des constantes rebasées suffisent (HD3).</w:t>
      </w:r>
    </w:p>
    <w:p>
      <w:pPr>
        <w:pStyle w:val="Heading2"/>
        <w:spacing w:after="130" w:before="260"/>
      </w:pPr>
      <w:r>
        <w:t xml:space="preserve">6.4 Du brut au pack de tours : mapping et règle du pilote unique</w:t>
      </w:r>
    </w:p>
    <w:p>
      <w:pPr>
        <w:spacing w:after="120" w:line="276"/>
        <w:jc w:val="both"/>
      </w:pPr>
      <w:r>
        <w:t xml:space="preserve">Le pipeline (</w:t>
      </w:r>
      <w:r>
        <w:rPr>
          <w:rFonts w:ascii="Consolas" w:cs="Consolas" w:eastAsia="Consolas" w:hAnsi="Consolas"/>
          <w:color w:val="005A96"/>
          <w:sz w:val="18"/>
          <w:szCs w:val="18"/>
        </w:rPr>
        <w:t xml:space="preserve">scripts/prepare_data.py</w:t>
      </w:r>
      <w:r>
        <w:t xml:space="preserve">) transforme les séries brutes en un pack par tour : tour_NN.csv (KPIs), events_NN.json, milestones_NN.json. La règle centrale interdit le double comptage : chaque champ KPI d'un nœud est piloté SOIT par une série, SOIT par les événements calibrés, jamais les deux. Quand un événement écrit un champ à un tour donné, la série saute ce tour (liste SKIP_SERIES_ON_EVENT : la demande de NovaFab saute T3 et T7, le délai de CompoDis saute T5).</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500"/>
        <w:gridCol w:w="2350"/>
        <w:gridCol w:w="5176"/>
      </w:tblGrid>
      <w:tr>
        <w:trPr>
          <w:tblHeader/>
        </w:trPr>
        <w:tc>
          <w:tcPr>
            <w:tcW w:type="dxa" w:w="1500"/>
            <w:shd w:fill="0072BC" w:val="clear"/>
            <w:tcMar>
              <w:top w:type="dxa" w:w="50"/>
              <w:left w:type="dxa" w:w="90"/>
              <w:bottom w:type="dxa" w:w="50"/>
              <w:right w:type="dxa" w:w="90"/>
            </w:tcMar>
            <w:vAlign w:val="center"/>
          </w:tcPr>
          <w:p>
            <w:pPr>
              <w:spacing w:after="20"/>
              <w:jc w:val="left"/>
            </w:pPr>
            <w:r>
              <w:rPr>
                <w:b/>
                <w:bCs/>
                <w:color w:val="FFFFFF"/>
                <w:sz w:val="17"/>
                <w:szCs w:val="17"/>
              </w:rPr>
              <w:t xml:space="preserve">Nœud</w:t>
            </w:r>
          </w:p>
        </w:tc>
        <w:tc>
          <w:tcPr>
            <w:tcW w:type="dxa" w:w="2350"/>
            <w:shd w:fill="0072BC" w:val="clear"/>
            <w:tcMar>
              <w:top w:type="dxa" w:w="50"/>
              <w:left w:type="dxa" w:w="90"/>
              <w:bottom w:type="dxa" w:w="50"/>
              <w:right w:type="dxa" w:w="90"/>
            </w:tcMar>
            <w:vAlign w:val="center"/>
          </w:tcPr>
          <w:p>
            <w:pPr>
              <w:spacing w:after="20"/>
              <w:jc w:val="left"/>
            </w:pPr>
            <w:r>
              <w:rPr>
                <w:b/>
                <w:bCs/>
                <w:color w:val="FFFFFF"/>
                <w:sz w:val="17"/>
                <w:szCs w:val="17"/>
              </w:rPr>
              <w:t xml:space="preserve">Champ KPI</w:t>
            </w:r>
          </w:p>
        </w:tc>
        <w:tc>
          <w:tcPr>
            <w:tcW w:type="dxa" w:w="5176"/>
            <w:shd w:fill="0072BC" w:val="clear"/>
            <w:tcMar>
              <w:top w:type="dxa" w:w="50"/>
              <w:left w:type="dxa" w:w="90"/>
              <w:bottom w:type="dxa" w:w="50"/>
              <w:right w:type="dxa" w:w="90"/>
            </w:tcMar>
            <w:vAlign w:val="center"/>
          </w:tcPr>
          <w:p>
            <w:pPr>
              <w:spacing w:after="20"/>
              <w:jc w:val="left"/>
            </w:pPr>
            <w:r>
              <w:rPr>
                <w:b/>
                <w:bCs/>
                <w:color w:val="FFFFFF"/>
                <w:sz w:val="17"/>
                <w:szCs w:val="17"/>
              </w:rPr>
              <w:t xml:space="preserve">Pilote</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network.demand</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WSTS worldwide / baseline ×100 (sauf T3 et T7 : événements pic_demande)</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cost.op_cost</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PPI semi-conducteurs US (Kaggle/BLS, HD5 : authentique) / baseline × nominal ; série arrêtée nov. 2021</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Meridian</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network.demand</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WSTS worldwide / baseline ×100 (la même vague de demande le frappe)</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inventory.flow_rate</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WSTS worldwide / baseline ×100 (volume servi)</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network.demand</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Événements uniquement (pic_demande T13, bullwhip)</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time.lead_time_h</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Série reconstruite des délais constatés (ancres documentées), sauf T5 (événement)</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cost.op_cost</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IPP composants / baseline × nominal (prix catalogue, plat en réalité, et c'est informatif : la prime spot passe par hausse_tarif T14)</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CompoDis, SilPure</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risk.failure_probability</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Défaillances industrie / baseline × p_base</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Électis</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oee.performance</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IPI NAF 26.1 lissé 3 mois / baseline × 0.90</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Électis</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oee.availability</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TUC interpolé mensuel / 82.6 (dernier trimestre pré-covid), borné [0, 1]</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Électis, SilPure</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cost.op_cost</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IPP industrie / baseline × nominal</w:t>
            </w:r>
          </w:p>
        </w:tc>
      </w:tr>
      <w:tr>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AvioSys</w:t>
            </w:r>
          </w:p>
        </w:tc>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inventory.flow_rate</w:t>
            </w:r>
          </w:p>
        </w:tc>
        <w:tc>
          <w:tcPr>
            <w:tcW w:type="dxa" w:w="5176"/>
            <w:shd w:fill="EDF3F9" w:val="clear"/>
            <w:tcMar>
              <w:top w:type="dxa" w:w="50"/>
              <w:left w:type="dxa" w:w="90"/>
              <w:bottom w:type="dxa" w:w="50"/>
              <w:right w:type="dxa" w:w="90"/>
            </w:tcMar>
            <w:vAlign w:val="center"/>
          </w:tcPr>
          <w:p>
            <w:pPr>
              <w:spacing w:after="20"/>
              <w:jc w:val="left"/>
            </w:pPr>
            <w:r>
              <w:rPr>
                <w:color w:val="1F3050"/>
                <w:sz w:val="17"/>
                <w:szCs w:val="17"/>
              </w:rPr>
              <w:t xml:space="preserve">Couverture scriptée (narration) exprimée en capacité d'alimentation : 100 × min(couverture / 6 sem., 1)</w:t>
            </w:r>
          </w:p>
        </w:tc>
      </w:tr>
      <w:tr>
        <w:tc>
          <w:tcPr>
            <w:tcW w:type="dxa" w:w="1500"/>
            <w:tcMar>
              <w:top w:type="dxa" w:w="50"/>
              <w:left w:type="dxa" w:w="90"/>
              <w:bottom w:type="dxa" w:w="50"/>
              <w:right w:type="dxa" w:w="90"/>
            </w:tcMar>
            <w:vAlign w:val="center"/>
          </w:tcPr>
          <w:p>
            <w:pPr>
              <w:spacing w:after="20"/>
              <w:jc w:val="left"/>
            </w:pPr>
            <w:r>
              <w:rPr>
                <w:color w:val="1F3050"/>
                <w:sz w:val="17"/>
                <w:szCs w:val="17"/>
              </w:rPr>
              <w:t xml:space="preserve">Tous</w:t>
            </w:r>
          </w:p>
        </w:tc>
        <w:tc>
          <w:tcPr>
            <w:tcW w:type="dxa" w:w="2350"/>
            <w:tcMar>
              <w:top w:type="dxa" w:w="50"/>
              <w:left w:type="dxa" w:w="90"/>
              <w:bottom w:type="dxa" w:w="50"/>
              <w:right w:type="dxa" w:w="90"/>
            </w:tcMar>
            <w:vAlign w:val="center"/>
          </w:tcPr>
          <w:p>
            <w:pPr>
              <w:spacing w:after="20"/>
              <w:jc w:val="left"/>
            </w:pPr>
            <w:r>
              <w:rPr>
                <w:color w:val="1F3050"/>
                <w:sz w:val="17"/>
                <w:szCs w:val="17"/>
              </w:rPr>
              <w:t xml:space="preserve">risk.cost_volatility</w:t>
            </w:r>
          </w:p>
        </w:tc>
        <w:tc>
          <w:tcPr>
            <w:tcW w:type="dxa" w:w="5176"/>
            <w:tcMar>
              <w:top w:type="dxa" w:w="50"/>
              <w:left w:type="dxa" w:w="90"/>
              <w:bottom w:type="dxa" w:w="50"/>
              <w:right w:type="dxa" w:w="90"/>
            </w:tcMar>
            <w:vAlign w:val="center"/>
          </w:tcPr>
          <w:p>
            <w:pPr>
              <w:spacing w:after="20"/>
              <w:jc w:val="left"/>
            </w:pPr>
            <w:r>
              <w:rPr>
                <w:color w:val="1F3050"/>
                <w:sz w:val="17"/>
                <w:szCs w:val="17"/>
              </w:rPr>
              <w:t xml:space="preserve">Écart-type glissant sur 3 tours / moyenne, sur la série de coût du nœud</w:t>
            </w:r>
          </w:p>
        </w:tc>
      </w:tr>
    </w:tbl>
    <w:p>
      <w:pPr>
        <w:spacing w:after="160"/>
      </w:pPr>
    </w:p>
    <w:p>
      <w:pPr>
        <w:spacing w:after="120" w:line="276"/>
        <w:jc w:val="both"/>
      </w:pPr>
      <w:r>
        <w:t xml:space="preserve">La baseline de normalisation est la moyenne de juillet et août 2020 pour chaque série (dernier plateau avant la fenêtre de jeu). Trois transformations nommées complètent le mapping : lissage centré sur trois mois de l'IPI (dé-saisonnalisation légère), interpolation linéaire du TUC trimestriel en mensuel, et reconstruction du lead time fournisseur par interpolation entre ancres documentées (12.5 semaines à T0, 22.2 à T8 conformément au chiffre Broadcom d'avril 2021, plafond de 25 vers T14, 24 à T18).</w:t>
      </w:r>
    </w:p>
    <w:tbl>
      <w:tblPr>
        <w:tblW w:type="dxa" w:w="9026"/>
        <w:tblBorders>
          <w:top w:val="single" w:color="C8862A" w:sz="8"/>
          <w:left w:val="single" w:color="C8862A" w:sz="8"/>
          <w:bottom w:val="single" w:color="C8862A" w:sz="8"/>
          <w:right w:val="single" w:color="C8862A" w:sz="8"/>
          <w:insideH w:val="none" w:color="FFFFFF" w:sz="0"/>
          <w:insideV w:val="none" w:color="FFFFFF" w:sz="0"/>
        </w:tblBorders>
      </w:tblPr>
      <w:tblGrid>
        <w:gridCol w:w="9026"/>
      </w:tblGrid>
      <w:tr>
        <w:tc>
          <w:tcPr>
            <w:tcW w:type="dxa" w:w="9026"/>
            <w:shd w:fill="FBF3E4" w:val="clear"/>
            <w:tcMar>
              <w:top w:type="dxa" w:w="120"/>
              <w:left w:type="dxa" w:w="160"/>
              <w:bottom w:type="dxa" w:w="60"/>
              <w:right w:type="dxa" w:w="160"/>
            </w:tcMar>
          </w:tcPr>
          <w:p>
            <w:pPr>
              <w:spacing w:after="120" w:line="276"/>
              <w:jc w:val="both"/>
            </w:pPr>
            <w:r>
              <w:rPr>
                <w:b/>
                <w:bCs/>
                <w:color w:val="C8862A"/>
              </w:rPr>
              <w:t xml:space="preserve">Note d'honnêteté méthodologique. </w:t>
            </w:r>
            <w:r>
              <w:t xml:space="preserve">La série réelle des défaillances d'entreprises BAISSE sur 2020-2021 (soutien public « quoi qu'il en coûte ») : le facteur défaillances DIMINUE donc le risque externe pendant que la crise sectorielle fait rage. C'est exactement l'argument multi-blocs : un indicateur macroéconomique seul raconte le contraire du terrain. La série est conservée telle quelle et le constat versé au BST.</w:t>
            </w:r>
          </w:p>
        </w:tc>
      </w:tr>
    </w:tbl>
    <w:p>
      <w:pPr>
        <w:pStyle w:val="Heading2"/>
        <w:spacing w:after="130" w:before="260"/>
      </w:pPr>
      <w:r>
        <w:t xml:space="preserve">6.5 Couverture d'AvioSys : la seule série scriptée</w:t>
      </w:r>
    </w:p>
    <w:p>
      <w:pPr>
        <w:spacing w:after="120" w:line="276"/>
        <w:jc w:val="both"/>
      </w:pPr>
      <w:r>
        <w:t xml:space="preserve">Aucune série externe n'existe pour le stock d'un intégrateur avionique fictif. La couverture d'AvioSys est donc scriptée depuis la narration, avec deux ancres narratives fortes (11 semaines à T6, 7 à T8) et une trajectoire complète de 11 semaines (T0) à 3 semaines au plus bas (T13) puis remontée à 8 (T18). Le choix est assumé et étiqueté « scripté » partout où il apparaît. Sa traduction en KPI passe par la capacité d'alimentation des lignes (flow = 100 × min(couverture / cycle de 6 semaines, 1)) parce que la sémantique volume du modèle mesure la saturation d'entrepôt, pas la couverture (constaté au dry run, section 9).</w:t>
      </w:r>
    </w:p>
    <w:p>
      <w:pPr>
        <w:pStyle w:val="Heading2"/>
        <w:spacing w:after="130" w:before="260"/>
      </w:pPr>
      <w:r>
        <w:t xml:space="preserve">6.6 Gel du pack</w:t>
      </w:r>
    </w:p>
    <w:p>
      <w:pPr>
        <w:spacing w:after="120" w:line="276"/>
        <w:jc w:val="both"/>
      </w:pPr>
      <w:r>
        <w:t xml:space="preserve">Une fois le pack généré (19 CSV de KPIs, 19 JSON d'événements, 19 JSON de jalons), chaque fichier est haché et l'ensemble est gelé dans </w:t>
      </w:r>
      <w:r>
        <w:rPr>
          <w:rFonts w:ascii="Consolas" w:cs="Consolas" w:eastAsia="Consolas" w:hAnsi="Consolas"/>
          <w:color w:val="005A96"/>
          <w:sz w:val="18"/>
          <w:szCs w:val="18"/>
        </w:rPr>
        <w:t xml:space="preserve">data/prepared/HASHES.sha256</w:t>
      </w:r>
      <w:r>
        <w:t xml:space="preserve">. Toute régénération en cours de campagne invaliderait l'expérimentation : le hash permet de le prouver plutôt que de le promettre.</w:t>
      </w:r>
    </w:p>
    <w:p>
      <w:pPr>
        <w:pStyle w:val="Heading1"/>
        <w:pageBreakBefore/>
        <w:spacing w:after="180" w:before="240"/>
      </w:pPr>
      <w:r>
        <w:t xml:space="preserve">7. Infrastructure logicielle de la campagne</w:t>
      </w:r>
    </w:p>
    <w:p>
      <w:pPr>
        <w:pStyle w:val="Heading2"/>
        <w:spacing w:after="130" w:before="260"/>
      </w:pPr>
      <w:r>
        <w:t xml:space="preserve">7.1 Vue d'ensemble</w:t>
      </w:r>
    </w:p>
    <w:p>
      <w:pPr>
        <w:spacing w:after="120" w:line="276"/>
        <w:jc w:val="both"/>
      </w:pPr>
      <w:r>
        <w:t xml:space="preserve">La campagne vit dans </w:t>
      </w:r>
      <w:r>
        <w:rPr>
          <w:rFonts w:ascii="Consolas" w:cs="Consolas" w:eastAsia="Consolas" w:hAnsi="Consolas"/>
          <w:color w:val="005A96"/>
          <w:sz w:val="18"/>
          <w:szCs w:val="18"/>
        </w:rPr>
        <w:t xml:space="preserve">projects/simu_semiconducteurs/</w:t>
      </w:r>
      <w:r>
        <w:t xml:space="preserve"> et s'appuie sur le package </w:t>
      </w:r>
      <w:r>
        <w:rPr>
          <w:rFonts w:ascii="Consolas" w:cs="Consolas" w:eastAsia="Consolas" w:hAnsi="Consolas"/>
          <w:color w:val="005A96"/>
          <w:sz w:val="18"/>
          <w:szCs w:val="18"/>
        </w:rPr>
        <w:t xml:space="preserve">supplyscore</w:t>
      </w:r>
      <w:r>
        <w:t xml:space="preserve"> installé. La source de vérité unique du scénario est </w:t>
      </w:r>
      <w:r>
        <w:rPr>
          <w:rFonts w:ascii="Consolas" w:cs="Consolas" w:eastAsia="Consolas" w:hAnsi="Consolas"/>
          <w:color w:val="005A96"/>
          <w:sz w:val="18"/>
          <w:szCs w:val="18"/>
        </w:rPr>
        <w:t xml:space="preserve">scenario/scenario.py</w:t>
      </w:r>
      <w:r>
        <w:t xml:space="preserve"> (841 lignes : réseau, coefficients, KPIs initiaux, jalons, dérives, re-planifications, événements, personas, narration par canal, placebos, profils synthétiques, sources). Six scripts l'exploitent :</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2350"/>
        <w:gridCol w:w="3350"/>
        <w:gridCol w:w="3326"/>
      </w:tblGrid>
      <w:tr>
        <w:trPr>
          <w:tblHeader/>
        </w:trPr>
        <w:tc>
          <w:tcPr>
            <w:tcW w:type="dxa" w:w="2350"/>
            <w:shd w:fill="0072BC" w:val="clear"/>
            <w:tcMar>
              <w:top w:type="dxa" w:w="50"/>
              <w:left w:type="dxa" w:w="90"/>
              <w:bottom w:type="dxa" w:w="50"/>
              <w:right w:type="dxa" w:w="90"/>
            </w:tcMar>
            <w:vAlign w:val="center"/>
          </w:tcPr>
          <w:p>
            <w:pPr>
              <w:spacing w:after="20"/>
              <w:jc w:val="left"/>
            </w:pPr>
            <w:r>
              <w:rPr>
                <w:b/>
                <w:bCs/>
                <w:color w:val="FFFFFF"/>
                <w:sz w:val="17"/>
                <w:szCs w:val="17"/>
              </w:rPr>
              <w:t xml:space="preserve">Script</w:t>
            </w:r>
          </w:p>
        </w:tc>
        <w:tc>
          <w:tcPr>
            <w:tcW w:type="dxa" w:w="3350"/>
            <w:shd w:fill="0072BC" w:val="clear"/>
            <w:tcMar>
              <w:top w:type="dxa" w:w="50"/>
              <w:left w:type="dxa" w:w="90"/>
              <w:bottom w:type="dxa" w:w="50"/>
              <w:right w:type="dxa" w:w="90"/>
            </w:tcMar>
            <w:vAlign w:val="center"/>
          </w:tcPr>
          <w:p>
            <w:pPr>
              <w:spacing w:after="20"/>
              <w:jc w:val="left"/>
            </w:pPr>
            <w:r>
              <w:rPr>
                <w:b/>
                <w:bCs/>
                <w:color w:val="FFFFFF"/>
                <w:sz w:val="17"/>
                <w:szCs w:val="17"/>
              </w:rPr>
              <w:t xml:space="preserve">Rôle</w:t>
            </w:r>
          </w:p>
        </w:tc>
        <w:tc>
          <w:tcPr>
            <w:tcW w:type="dxa" w:w="3326"/>
            <w:shd w:fill="0072BC" w:val="clear"/>
            <w:tcMar>
              <w:top w:type="dxa" w:w="50"/>
              <w:left w:type="dxa" w:w="90"/>
              <w:bottom w:type="dxa" w:w="50"/>
              <w:right w:type="dxa" w:w="90"/>
            </w:tcMar>
            <w:vAlign w:val="center"/>
          </w:tcPr>
          <w:p>
            <w:pPr>
              <w:spacing w:after="20"/>
              <w:jc w:val="left"/>
            </w:pPr>
            <w:r>
              <w:rPr>
                <w:b/>
                <w:bCs/>
                <w:color w:val="FFFFFF"/>
                <w:sz w:val="17"/>
                <w:szCs w:val="17"/>
              </w:rPr>
              <w:t xml:space="preserve">Garde-fous</w:t>
            </w:r>
          </w:p>
        </w:tc>
      </w:tr>
      <w:tr>
        <w:tc>
          <w:tcPr>
            <w:tcW w:type="dxa" w:w="2350"/>
            <w:tcMar>
              <w:top w:type="dxa" w:w="50"/>
              <w:left w:type="dxa" w:w="90"/>
              <w:bottom w:type="dxa" w:w="50"/>
              <w:right w:type="dxa" w:w="90"/>
            </w:tcMar>
            <w:vAlign w:val="center"/>
          </w:tcPr>
          <w:p>
            <w:pPr>
              <w:spacing w:after="20"/>
              <w:jc w:val="left"/>
            </w:pPr>
            <w:r>
              <w:rPr>
                <w:color w:val="1F3050"/>
                <w:sz w:val="17"/>
                <w:szCs w:val="17"/>
              </w:rPr>
              <w:t xml:space="preserve">fetch_data.py</w:t>
            </w:r>
          </w:p>
        </w:tc>
        <w:tc>
          <w:tcPr>
            <w:tcW w:type="dxa" w:w="3350"/>
            <w:tcMar>
              <w:top w:type="dxa" w:w="50"/>
              <w:left w:type="dxa" w:w="90"/>
              <w:bottom w:type="dxa" w:w="50"/>
              <w:right w:type="dxa" w:w="90"/>
            </w:tcMar>
            <w:vAlign w:val="center"/>
          </w:tcPr>
          <w:p>
            <w:pPr>
              <w:spacing w:after="20"/>
              <w:jc w:val="left"/>
            </w:pPr>
            <w:r>
              <w:rPr>
                <w:color w:val="1F3050"/>
                <w:sz w:val="17"/>
                <w:szCs w:val="17"/>
              </w:rPr>
              <w:t xml:space="preserve">Acquisition des séries publiques (INSEE BDM, WSTS) vers data/raw/ et écriture du MANIFEST de provenance.</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Empreintes SHA-256 ; toute série absente est consignée, jamais inventée.</w:t>
            </w:r>
          </w:p>
        </w:tc>
      </w:tr>
      <w:tr>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prepare_data.py</w:t>
            </w:r>
          </w:p>
        </w:tc>
        <w:tc>
          <w:tcPr>
            <w:tcW w:type="dxa" w:w="3350"/>
            <w:shd w:fill="EDF3F9" w:val="clear"/>
            <w:tcMar>
              <w:top w:type="dxa" w:w="50"/>
              <w:left w:type="dxa" w:w="90"/>
              <w:bottom w:type="dxa" w:w="50"/>
              <w:right w:type="dxa" w:w="90"/>
            </w:tcMar>
            <w:vAlign w:val="center"/>
          </w:tcPr>
          <w:p>
            <w:pPr>
              <w:spacing w:after="20"/>
              <w:jc w:val="left"/>
            </w:pPr>
            <w:r>
              <w:rPr>
                <w:color w:val="1F3050"/>
                <w:sz w:val="17"/>
                <w:szCs w:val="17"/>
              </w:rPr>
              <w:t xml:space="preserve">Séries brutes vers pack par tour (KPIs, événements, jalons).</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Règle du pilote unique par (nœud, champ) ; gel HASHES.sha256.</w:t>
            </w:r>
          </w:p>
        </w:tc>
      </w:tr>
      <w:tr>
        <w:tc>
          <w:tcPr>
            <w:tcW w:type="dxa" w:w="2350"/>
            <w:tcMar>
              <w:top w:type="dxa" w:w="50"/>
              <w:left w:type="dxa" w:w="90"/>
              <w:bottom w:type="dxa" w:w="50"/>
              <w:right w:type="dxa" w:w="90"/>
            </w:tcMar>
            <w:vAlign w:val="center"/>
          </w:tcPr>
          <w:p>
            <w:pPr>
              <w:spacing w:after="20"/>
              <w:jc w:val="left"/>
            </w:pPr>
            <w:r>
              <w:rPr>
                <w:color w:val="1F3050"/>
                <w:sz w:val="17"/>
                <w:szCs w:val="17"/>
              </w:rPr>
              <w:t xml:space="preserve">setup_scenario.py</w:t>
            </w:r>
          </w:p>
        </w:tc>
        <w:tc>
          <w:tcPr>
            <w:tcW w:type="dxa" w:w="3350"/>
            <w:tcMar>
              <w:top w:type="dxa" w:w="50"/>
              <w:left w:type="dxa" w:w="90"/>
              <w:bottom w:type="dxa" w:w="50"/>
              <w:right w:type="dxa" w:w="90"/>
            </w:tcMar>
            <w:vAlign w:val="center"/>
          </w:tcPr>
          <w:p>
            <w:pPr>
              <w:spacing w:after="20"/>
              <w:jc w:val="left"/>
            </w:pPr>
            <w:r>
              <w:rPr>
                <w:color w:val="1F3050"/>
                <w:sz w:val="17"/>
                <w:szCs w:val="17"/>
              </w:rPr>
              <w:t xml:space="preserve">Création du projet, des 8 nœuds, des 7 arcs, des KPIs T0 et des 18 jalons ; horloge en mode jeu.</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Refuse de s'exécuter si une campagne existe déjà (sauf --force avec confirmation interactive « OUI »).</w:t>
            </w:r>
          </w:p>
        </w:tc>
      </w:tr>
      <w:tr>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inject_tour.py</w:t>
            </w:r>
          </w:p>
        </w:tc>
        <w:tc>
          <w:tcPr>
            <w:tcW w:type="dxa" w:w="3350"/>
            <w:shd w:fill="EDF3F9" w:val="clear"/>
            <w:tcMar>
              <w:top w:type="dxa" w:w="50"/>
              <w:left w:type="dxa" w:w="90"/>
              <w:bottom w:type="dxa" w:w="50"/>
              <w:right w:type="dxa" w:w="90"/>
            </w:tcMar>
            <w:vAlign w:val="center"/>
          </w:tcPr>
          <w:p>
            <w:pPr>
              <w:spacing w:after="20"/>
              <w:jc w:val="left"/>
            </w:pPr>
            <w:r>
              <w:rPr>
                <w:color w:val="1F3050"/>
                <w:sz w:val="17"/>
                <w:szCs w:val="17"/>
              </w:rPr>
              <w:t xml:space="preserve">Injection du tour N : érosion hebdomadaire, KPIs (source weekly), jalons, événements ; puis clôture.</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Idempotence stricte : le tour N n'est accepté que si le dernier joué est N-1 (campaign_state.json) ; pas de rejeu silencieux ; mode humain en deux temps (injection puis --advance-only).</w:t>
            </w:r>
          </w:p>
        </w:tc>
      </w:tr>
      <w:tr>
        <w:tc>
          <w:tcPr>
            <w:tcW w:type="dxa" w:w="2350"/>
            <w:tcMar>
              <w:top w:type="dxa" w:w="50"/>
              <w:left w:type="dxa" w:w="90"/>
              <w:bottom w:type="dxa" w:w="50"/>
              <w:right w:type="dxa" w:w="90"/>
            </w:tcMar>
            <w:vAlign w:val="center"/>
          </w:tcPr>
          <w:p>
            <w:pPr>
              <w:spacing w:after="20"/>
              <w:jc w:val="left"/>
            </w:pPr>
            <w:r>
              <w:rPr>
                <w:color w:val="1F3050"/>
                <w:sz w:val="17"/>
                <w:szCs w:val="17"/>
              </w:rPr>
              <w:t xml:space="preserve">make_briefings.py</w:t>
            </w:r>
          </w:p>
        </w:tc>
        <w:tc>
          <w:tcPr>
            <w:tcW w:type="dxa" w:w="3350"/>
            <w:tcMar>
              <w:top w:type="dxa" w:w="50"/>
              <w:left w:type="dxa" w:w="90"/>
              <w:bottom w:type="dxa" w:w="50"/>
              <w:right w:type="dxa" w:w="90"/>
            </w:tcMar>
            <w:vAlign w:val="center"/>
          </w:tcPr>
          <w:p>
            <w:pPr>
              <w:spacing w:after="20"/>
              <w:jc w:val="left"/>
            </w:pPr>
            <w:r>
              <w:rPr>
                <w:color w:val="1F3050"/>
                <w:sz w:val="17"/>
                <w:szCs w:val="17"/>
              </w:rPr>
              <w:t xml:space="preserve">Génération des fiches par nœud et par tour, des variantes placebo et des cartes de rôle.</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Anti-fuite structurel HC5 : ne lit que les fichiers des tours ≤ N ; libellés métier, jamais les chemins techniques.</w:t>
            </w:r>
          </w:p>
        </w:tc>
      </w:tr>
      <w:tr>
        <w:tc>
          <w:tcPr>
            <w:tcW w:type="dxa" w:w="2350"/>
            <w:shd w:fill="EDF3F9" w:val="clear"/>
            <w:tcMar>
              <w:top w:type="dxa" w:w="50"/>
              <w:left w:type="dxa" w:w="90"/>
              <w:bottom w:type="dxa" w:w="50"/>
              <w:right w:type="dxa" w:w="90"/>
            </w:tcMar>
            <w:vAlign w:val="center"/>
          </w:tcPr>
          <w:p>
            <w:pPr>
              <w:spacing w:after="20"/>
              <w:jc w:val="left"/>
            </w:pPr>
            <w:r>
              <w:rPr>
                <w:color w:val="1F3050"/>
                <w:sz w:val="17"/>
                <w:szCs w:val="17"/>
              </w:rPr>
              <w:t xml:space="preserve">export_state.py</w:t>
            </w:r>
          </w:p>
        </w:tc>
        <w:tc>
          <w:tcPr>
            <w:tcW w:type="dxa" w:w="3350"/>
            <w:shd w:fill="EDF3F9" w:val="clear"/>
            <w:tcMar>
              <w:top w:type="dxa" w:w="50"/>
              <w:left w:type="dxa" w:w="90"/>
              <w:bottom w:type="dxa" w:w="50"/>
              <w:right w:type="dxa" w:w="90"/>
            </w:tcMar>
            <w:vAlign w:val="center"/>
          </w:tcPr>
          <w:p>
            <w:pPr>
              <w:spacing w:after="20"/>
              <w:jc w:val="left"/>
            </w:pPr>
            <w:r>
              <w:rPr>
                <w:color w:val="1F3050"/>
                <w:sz w:val="17"/>
                <w:szCs w:val="17"/>
              </w:rPr>
              <w:t xml:space="preserve">Snapshot JSON du réseau (scores, criticité, couverture) et sauvegarde zip de la base à chaque clôture.</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Snapshot best-effort tracé ; sauvegarde par le service natif (integrity_check + API backup).</w:t>
            </w:r>
          </w:p>
        </w:tc>
      </w:tr>
    </w:tbl>
    <w:p>
      <w:pPr>
        <w:spacing w:after="160"/>
      </w:pPr>
    </w:p>
    <w:p>
      <w:pPr>
        <w:pStyle w:val="Heading2"/>
        <w:spacing w:after="130" w:before="260"/>
      </w:pPr>
      <w:r>
        <w:t xml:space="preserve">7.2 Le cycle d'un tour côté moteur</w:t>
      </w:r>
    </w:p>
    <w:p>
      <w:pPr>
        <w:spacing w:after="120" w:line="276"/>
        <w:jc w:val="both"/>
      </w:pPr>
      <w:r>
        <w:t xml:space="preserve">La séquence d'injection d'un tour est fixe : d'abord l'érosion hebdomadaire (les effets des événements passés refluent, « une semaine s'est écoulée sans nouvel incident »), puis les KPIs du pack (source weekly, via le service de mutations qui valide et journalise), puis les progrès et re-planifications de jalons, puis les événements calibrés (EventEngine.apply, qui journalise, mute les KPIs et réévalue). En campagne réelle, la fenêtre de réponse humaine s'ouvre alors ; la clôture (--advance-only) déclenche advance_week, le snapshot du tour et la sauvegarde zip. En dry run, l'option --dry-run-ahp remplace la fenêtre humaine par huit évaluations synthétiques et enchaîne la clôture.</w:t>
      </w:r>
    </w:p>
    <w:tbl>
      <w:tblPr>
        <w:tblW w:type="dxa" w:w="9026"/>
        <w:tblBorders>
          <w:top w:val="single" w:color="8C97A6" w:sz="4"/>
          <w:left w:val="single" w:color="8C97A6" w:sz="4"/>
          <w:bottom w:val="single" w:color="8C97A6" w:sz="4"/>
          <w:right w:val="single" w:color="8C97A6" w:sz="4"/>
          <w:insideH w:val="none" w:color="FFFFFF" w:sz="0"/>
          <w:insideV w:val="none" w:color="FFFFFF" w:sz="0"/>
        </w:tblBorders>
      </w:tblPr>
      <w:tblGrid>
        <w:gridCol w:w="9026"/>
      </w:tblGrid>
      <w:tr>
        <w:tc>
          <w:tcPr>
            <w:tcW w:type="dxa" w:w="9026"/>
            <w:shd w:fill="F4F6F8" w:val="clear"/>
            <w:tcMar>
              <w:top w:type="dxa" w:w="90"/>
              <w:left w:type="dxa" w:w="140"/>
              <w:bottom w:type="dxa" w:w="90"/>
              <w:right w:type="dxa" w:w="140"/>
            </w:tcMar>
          </w:tcPr>
          <w:p>
            <w:pPr>
              <w:spacing w:after="20"/>
            </w:pPr>
            <w:r>
              <w:rPr>
                <w:rFonts w:ascii="Consolas" w:cs="Consolas" w:eastAsia="Consolas" w:hAnsi="Consolas"/>
                <w:color w:val="1F3050"/>
                <w:sz w:val="17"/>
                <w:szCs w:val="17"/>
              </w:rPr>
              <w:t xml:space="preserve"># journée type (matin) :</w:t>
            </w:r>
          </w:p>
          <w:p>
            <w:pPr>
              <w:spacing w:after="20"/>
            </w:pPr>
            <w:r>
              <w:rPr>
                <w:rFonts w:ascii="Consolas" w:cs="Consolas" w:eastAsia="Consolas" w:hAnsi="Consolas"/>
                <w:color w:val="1F3050"/>
                <w:sz w:val="17"/>
                <w:szCs w:val="17"/>
              </w:rPr>
              <w:t xml:space="preserve">py inject_tour.py --tour N --db-dir %DB%          # érosion + KPIs + jalons + événements</w:t>
            </w:r>
          </w:p>
          <w:p>
            <w:pPr>
              <w:spacing w:after="20"/>
            </w:pPr>
            <w:r>
              <w:rPr>
                <w:rFonts w:ascii="Consolas" w:cs="Consolas" w:eastAsia="Consolas" w:hAnsi="Consolas"/>
                <w:color w:val="1F3050"/>
                <w:sz w:val="17"/>
                <w:szCs w:val="17"/>
              </w:rPr>
              <w:t xml:space="preserve">py make_briefings.py --tour N [--placebo]         # fiches du tour (placebo : T9, T15)</w:t>
            </w:r>
          </w:p>
          <w:p>
            <w:pPr>
              <w:spacing w:after="20"/>
            </w:pPr>
            <w:r>
              <w:rPr>
                <w:rFonts w:ascii="Consolas" w:cs="Consolas" w:eastAsia="Consolas" w:hAnsi="Consolas"/>
                <w:color w:val="1F3050"/>
                <w:sz w:val="17"/>
                <w:szCs w:val="17"/>
              </w:rPr>
              <w:t xml:space="preserve">#   ... fenêtre de réponse AHP (8 consultants, &lt;= 10 min) ...</w:t>
            </w:r>
          </w:p>
          <w:p>
            <w:pPr>
              <w:spacing w:after="20"/>
            </w:pPr>
            <w:r>
              <w:rPr>
                <w:rFonts w:ascii="Consolas" w:cs="Consolas" w:eastAsia="Consolas" w:hAnsi="Consolas"/>
                <w:color w:val="1F3050"/>
                <w:sz w:val="17"/>
                <w:szCs w:val="17"/>
              </w:rPr>
              <w:t xml:space="preserve">py export_state.py --db-dir %DB%                  # contrôle de couverture 8/8</w:t>
            </w:r>
          </w:p>
          <w:p>
            <w:pPr>
              <w:spacing w:after="20"/>
            </w:pPr>
            <w:r>
              <w:rPr>
                <w:rFonts w:ascii="Consolas" w:cs="Consolas" w:eastAsia="Consolas" w:hAnsi="Consolas"/>
                <w:color w:val="1F3050"/>
                <w:sz w:val="17"/>
                <w:szCs w:val="17"/>
              </w:rPr>
              <w:t xml:space="preserve">py inject_tour.py --tour N --advance-only --db-dir %DB%   # clôture + snapshot + zip</w:t>
            </w:r>
          </w:p>
        </w:tc>
      </w:tr>
    </w:tbl>
    <w:p>
      <w:pPr>
        <w:spacing w:after="160"/>
      </w:pPr>
    </w:p>
    <w:p>
      <w:pPr>
        <w:spacing w:after="120" w:line="276"/>
        <w:jc w:val="both"/>
      </w:pPr>
      <w:r>
        <w:t xml:space="preserve">Un piège identifié au dry run est neutralisé par l'ordre de ces commandes : après advance_week, la semaine courante repart à zéro répondant, donc la couverture DOIT être vérifiée avant la clôture.</w:t>
      </w:r>
    </w:p>
    <w:p>
      <w:pPr>
        <w:pStyle w:val="Heading2"/>
        <w:spacing w:after="130" w:before="260"/>
      </w:pPr>
      <w:r>
        <w:t xml:space="preserve">7.3 Les fiches consultants</w:t>
      </w:r>
    </w:p>
    <w:p>
      <w:pPr>
        <w:spacing w:after="120" w:line="276"/>
        <w:jc w:val="both"/>
      </w:pPr>
      <w:r>
        <w:t xml:space="preserve">Chaque fiche assemble, pour un nœud et un tour : la revue de presse du secteur (identique pour tous), les échanges bilatéraux du nœud (ce que ses clients et fournisseurs directs lui disent), ses constats internes, ses indicateurs sur les quatre derniers tours (libellés métier : « Indice de demande client (base 100) », « Délai fournisseur constaté (semaines réelles) »), ses jalons avec avancement, et la consigne AHP en quatre questions. Le consultant ne voit jamais les sections des autres nœuds, ni les mois réels, ni les ancrages. Un exemple complet figure en annexe B.</w:t>
      </w:r>
    </w:p>
    <w:p>
      <w:pPr>
        <w:pStyle w:val="Heading2"/>
        <w:spacing w:after="130" w:before="260"/>
      </w:pPr>
      <w:r>
        <w:t xml:space="preserve">7.4 Base de campagne, sauvegardes, snapshots</w:t>
      </w:r>
    </w:p>
    <w:p>
      <w:pPr>
        <w:pStyle w:val="ListParagraph"/>
        <w:numPr>
          <w:ilvl w:val="0"/>
          <w:numId w:val="3"/>
        </w:numPr>
        <w:spacing w:after="60" w:line="264"/>
        <w:jc w:val="both"/>
      </w:pPr>
      <w:r>
        <w:rPr>
          <w:b/>
          <w:bCs/>
        </w:rPr>
        <w:t xml:space="preserve">Emplacement : </w:t>
      </w:r>
      <w:r>
        <w:rPr>
          <w:rFonts w:ascii="Consolas" w:cs="Consolas" w:eastAsia="Consolas" w:hAnsi="Consolas"/>
          <w:color w:val="005A96"/>
          <w:sz w:val="18"/>
          <w:szCs w:val="18"/>
        </w:rPr>
        <w:t xml:space="preserve">%LOCALAPPDATA%\SupplyScore\simu_semiconducteurs\</w:t>
      </w:r>
      <w:r>
        <w:t xml:space="preserve">, jamais dans un dossier synchronisé cloud (SQLite en mode WAL plus synchronisation égale risque de corruption, documenté au dépôt). Le dry run utilise une base distincte et jetable (simu_semiconducteurs_dryrun).</w:t>
      </w:r>
    </w:p>
    <w:p>
      <w:pPr>
        <w:pStyle w:val="ListParagraph"/>
        <w:numPr>
          <w:ilvl w:val="0"/>
          <w:numId w:val="3"/>
        </w:numPr>
        <w:spacing w:after="60" w:line="264"/>
        <w:jc w:val="both"/>
      </w:pPr>
      <w:r>
        <w:rPr>
          <w:b/>
          <w:bCs/>
        </w:rPr>
        <w:t xml:space="preserve">Snapshots : </w:t>
      </w:r>
      <w:r>
        <w:t xml:space="preserve">un JSON par tour sous analysis/snapshots/ contenant l'horodatage, la couverture hebdomadaire (répondants à jour / actifs), et pour chaque nœud les huit valeurs (ud, ur, ud_local, ur_local, adequation, false_urgency, hidden_risk, statut), plus le classement de criticité complet (delta_ur_final, delta_ur_max, nb_impactes par nœud).</w:t>
      </w:r>
    </w:p>
    <w:p>
      <w:pPr>
        <w:pStyle w:val="ListParagraph"/>
        <w:numPr>
          <w:ilvl w:val="0"/>
          <w:numId w:val="3"/>
        </w:numPr>
        <w:spacing w:after="60" w:line="264"/>
        <w:jc w:val="both"/>
      </w:pPr>
      <w:r>
        <w:rPr>
          <w:b/>
          <w:bCs/>
        </w:rPr>
        <w:t xml:space="preserve">Sauvegardes : </w:t>
      </w:r>
      <w:r>
        <w:t xml:space="preserve">une archive zip de la base à chaque clôture de tour ; la restauration consiste à dézipper la dernière archive dans le db-dir (règle de contingence).</w:t>
      </w:r>
    </w:p>
    <w:p>
      <w:pPr>
        <w:pStyle w:val="Heading1"/>
        <w:pageBreakBefore/>
        <w:spacing w:after="180" w:before="240"/>
      </w:pPr>
      <w:r>
        <w:t xml:space="preserve">8. Protocole opérationnel des quinze jours</w:t>
      </w:r>
    </w:p>
    <w:p>
      <w:pPr>
        <w:pStyle w:val="Heading2"/>
        <w:spacing w:after="130" w:before="260"/>
      </w:pPr>
      <w:r>
        <w:t xml:space="preserve">8.1 Rôles et responsabilités</w:t>
      </w:r>
    </w:p>
    <w:p>
      <w:pPr>
        <w:pStyle w:val="ListParagraph"/>
        <w:numPr>
          <w:ilvl w:val="0"/>
          <w:numId w:val="3"/>
        </w:numPr>
        <w:spacing w:after="60" w:line="264"/>
        <w:jc w:val="both"/>
      </w:pPr>
      <w:r>
        <w:rPr>
          <w:b/>
          <w:bCs/>
        </w:rPr>
        <w:t xml:space="preserve">Facilitateur : </w:t>
      </w:r>
      <w:r>
        <w:t xml:space="preserve">injection des tours, génération et distribution des fiches, contrôle de couverture, clôtures, tenue du journal de campagne (JOURNAL.md, à la main).</w:t>
      </w:r>
    </w:p>
    <w:p>
      <w:pPr>
        <w:pStyle w:val="ListParagraph"/>
        <w:numPr>
          <w:ilvl w:val="0"/>
          <w:numId w:val="3"/>
        </w:numPr>
        <w:spacing w:after="60" w:line="264"/>
        <w:jc w:val="both"/>
      </w:pPr>
      <w:r>
        <w:rPr>
          <w:b/>
          <w:bCs/>
        </w:rPr>
        <w:t xml:space="preserve">Doctorante : </w:t>
      </w:r>
      <w:r>
        <w:t xml:space="preserve">contrôle du protocole, administration des fiches placebo (sans mention de leur nature), relecture HC9 d'un échantillon de fiches.</w:t>
      </w:r>
    </w:p>
    <w:p>
      <w:pPr>
        <w:pStyle w:val="ListParagraph"/>
        <w:numPr>
          <w:ilvl w:val="0"/>
          <w:numId w:val="3"/>
        </w:numPr>
        <w:spacing w:after="60" w:line="264"/>
        <w:jc w:val="both"/>
      </w:pPr>
      <w:r>
        <w:rPr>
          <w:b/>
          <w:bCs/>
        </w:rPr>
        <w:t xml:space="preserve">Huit consultants : </w:t>
      </w:r>
      <w:r>
        <w:t xml:space="preserve">volet AHP uniquement, deux fois par jour, dix minutes maximum.</w:t>
      </w:r>
    </w:p>
    <w:p>
      <w:pPr>
        <w:pStyle w:val="ListParagraph"/>
        <w:numPr>
          <w:ilvl w:val="0"/>
          <w:numId w:val="3"/>
        </w:numPr>
        <w:spacing w:after="60" w:line="264"/>
        <w:jc w:val="both"/>
      </w:pPr>
      <w:r>
        <w:rPr>
          <w:b/>
          <w:bCs/>
        </w:rPr>
        <w:t xml:space="preserve">John : </w:t>
      </w:r>
      <w:r>
        <w:t xml:space="preserve">arbitrages, décision GO/NO-GO au jour J4.</w:t>
      </w:r>
    </w:p>
    <w:p>
      <w:pPr>
        <w:pStyle w:val="Heading2"/>
        <w:spacing w:after="130" w:before="260"/>
      </w:pPr>
      <w:r>
        <w:t xml:space="preserve">8.2 Calendrier des quinze jours ouvrés</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950"/>
        <w:gridCol w:w="1900"/>
        <w:gridCol w:w="6176"/>
      </w:tblGrid>
      <w:tr>
        <w:trPr>
          <w:tblHeader/>
        </w:trPr>
        <w:tc>
          <w:tcPr>
            <w:tcW w:type="dxa" w:w="950"/>
            <w:shd w:fill="0072BC" w:val="clear"/>
            <w:tcMar>
              <w:top w:type="dxa" w:w="50"/>
              <w:left w:type="dxa" w:w="90"/>
              <w:bottom w:type="dxa" w:w="50"/>
              <w:right w:type="dxa" w:w="90"/>
            </w:tcMar>
            <w:vAlign w:val="center"/>
          </w:tcPr>
          <w:p>
            <w:pPr>
              <w:spacing w:after="20"/>
              <w:jc w:val="left"/>
            </w:pPr>
            <w:r>
              <w:rPr>
                <w:b/>
                <w:bCs/>
                <w:color w:val="FFFFFF"/>
                <w:sz w:val="17"/>
                <w:szCs w:val="17"/>
              </w:rPr>
              <w:t xml:space="preserve">Jour</w:t>
            </w:r>
          </w:p>
        </w:tc>
        <w:tc>
          <w:tcPr>
            <w:tcW w:type="dxa" w:w="1900"/>
            <w:shd w:fill="0072BC" w:val="clear"/>
            <w:tcMar>
              <w:top w:type="dxa" w:w="50"/>
              <w:left w:type="dxa" w:w="90"/>
              <w:bottom w:type="dxa" w:w="50"/>
              <w:right w:type="dxa" w:w="90"/>
            </w:tcMar>
            <w:vAlign w:val="center"/>
          </w:tcPr>
          <w:p>
            <w:pPr>
              <w:spacing w:after="20"/>
              <w:jc w:val="left"/>
            </w:pPr>
            <w:r>
              <w:rPr>
                <w:b/>
                <w:bCs/>
                <w:color w:val="FFFFFF"/>
                <w:sz w:val="17"/>
                <w:szCs w:val="17"/>
              </w:rPr>
              <w:t xml:space="preserve">Qui</w:t>
            </w:r>
          </w:p>
        </w:tc>
        <w:tc>
          <w:tcPr>
            <w:tcW w:type="dxa" w:w="6176"/>
            <w:shd w:fill="0072BC" w:val="clear"/>
            <w:tcMar>
              <w:top w:type="dxa" w:w="50"/>
              <w:left w:type="dxa" w:w="90"/>
              <w:bottom w:type="dxa" w:w="50"/>
              <w:right w:type="dxa" w:w="90"/>
            </w:tcMar>
            <w:vAlign w:val="center"/>
          </w:tcPr>
          <w:p>
            <w:pPr>
              <w:spacing w:after="20"/>
              <w:jc w:val="left"/>
            </w:pPr>
            <w:r>
              <w:rPr>
                <w:b/>
                <w:bCs/>
                <w:color w:val="FFFFFF"/>
                <w:sz w:val="17"/>
                <w:szCs w:val="17"/>
              </w:rPr>
              <w:t xml:space="preserve">Contenu</w:t>
            </w:r>
          </w:p>
        </w:tc>
      </w:tr>
      <w:tr>
        <w:tc>
          <w:tcPr>
            <w:tcW w:type="dxa" w:w="950"/>
            <w:tcMar>
              <w:top w:type="dxa" w:w="50"/>
              <w:left w:type="dxa" w:w="90"/>
              <w:bottom w:type="dxa" w:w="50"/>
              <w:right w:type="dxa" w:w="90"/>
            </w:tcMar>
            <w:vAlign w:val="center"/>
          </w:tcPr>
          <w:p>
            <w:pPr>
              <w:spacing w:after="20"/>
              <w:jc w:val="left"/>
            </w:pPr>
            <w:r>
              <w:rPr>
                <w:color w:val="1F3050"/>
                <w:sz w:val="17"/>
                <w:szCs w:val="17"/>
              </w:rPr>
              <w:t xml:space="preserve">J1</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Facilitateur</w:t>
            </w:r>
          </w:p>
        </w:tc>
        <w:tc>
          <w:tcPr>
            <w:tcW w:type="dxa" w:w="6176"/>
            <w:tcMar>
              <w:top w:type="dxa" w:w="50"/>
              <w:left w:type="dxa" w:w="90"/>
              <w:bottom w:type="dxa" w:w="50"/>
              <w:right w:type="dxa" w:w="90"/>
            </w:tcMar>
            <w:vAlign w:val="center"/>
          </w:tcPr>
          <w:p>
            <w:pPr>
              <w:spacing w:after="20"/>
              <w:jc w:val="left"/>
            </w:pPr>
            <w:r>
              <w:rPr>
                <w:color w:val="1F3050"/>
                <w:sz w:val="17"/>
                <w:szCs w:val="17"/>
              </w:rPr>
              <w:t xml:space="preserve">Scénario finalisé, acquisition et vérification des séries (fait : voir MANIFEST).</w:t>
            </w:r>
          </w:p>
        </w:tc>
      </w:tr>
      <w:tr>
        <w:tc>
          <w:tcPr>
            <w:tcW w:type="dxa" w:w="950"/>
            <w:shd w:fill="EDF3F9" w:val="clear"/>
            <w:tcMar>
              <w:top w:type="dxa" w:w="50"/>
              <w:left w:type="dxa" w:w="90"/>
              <w:bottom w:type="dxa" w:w="50"/>
              <w:right w:type="dxa" w:w="90"/>
            </w:tcMar>
            <w:vAlign w:val="center"/>
          </w:tcPr>
          <w:p>
            <w:pPr>
              <w:spacing w:after="20"/>
              <w:jc w:val="left"/>
            </w:pPr>
            <w:r>
              <w:rPr>
                <w:color w:val="1F3050"/>
                <w:sz w:val="17"/>
                <w:szCs w:val="17"/>
              </w:rPr>
              <w:t xml:space="preserve">J2</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Facilitateur</w:t>
            </w:r>
          </w:p>
        </w:tc>
        <w:tc>
          <w:tcPr>
            <w:tcW w:type="dxa" w:w="6176"/>
            <w:shd w:fill="EDF3F9" w:val="clear"/>
            <w:tcMar>
              <w:top w:type="dxa" w:w="50"/>
              <w:left w:type="dxa" w:w="90"/>
              <w:bottom w:type="dxa" w:w="50"/>
              <w:right w:type="dxa" w:w="90"/>
            </w:tcMar>
            <w:vAlign w:val="center"/>
          </w:tcPr>
          <w:p>
            <w:pPr>
              <w:spacing w:after="20"/>
              <w:jc w:val="left"/>
            </w:pPr>
            <w:r>
              <w:rPr>
                <w:color w:val="1F3050"/>
                <w:sz w:val="17"/>
                <w:szCs w:val="17"/>
              </w:rPr>
              <w:t xml:space="preserve">Pipeline de préparation et pack gelé HASHES.sha256 (fait).</w:t>
            </w:r>
          </w:p>
        </w:tc>
      </w:tr>
      <w:tr>
        <w:tc>
          <w:tcPr>
            <w:tcW w:type="dxa" w:w="950"/>
            <w:tcMar>
              <w:top w:type="dxa" w:w="50"/>
              <w:left w:type="dxa" w:w="90"/>
              <w:bottom w:type="dxa" w:w="50"/>
              <w:right w:type="dxa" w:w="90"/>
            </w:tcMar>
            <w:vAlign w:val="center"/>
          </w:tcPr>
          <w:p>
            <w:pPr>
              <w:spacing w:after="20"/>
              <w:jc w:val="left"/>
            </w:pPr>
            <w:r>
              <w:rPr>
                <w:color w:val="1F3050"/>
                <w:sz w:val="17"/>
                <w:szCs w:val="17"/>
              </w:rPr>
              <w:t xml:space="preserve">J3</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Facilitateur</w:t>
            </w:r>
          </w:p>
        </w:tc>
        <w:tc>
          <w:tcPr>
            <w:tcW w:type="dxa" w:w="6176"/>
            <w:tcMar>
              <w:top w:type="dxa" w:w="50"/>
              <w:left w:type="dxa" w:w="90"/>
              <w:bottom w:type="dxa" w:w="50"/>
              <w:right w:type="dxa" w:w="90"/>
            </w:tcMar>
            <w:vAlign w:val="center"/>
          </w:tcPr>
          <w:p>
            <w:pPr>
              <w:spacing w:after="20"/>
              <w:jc w:val="left"/>
            </w:pPr>
            <w:r>
              <w:rPr>
                <w:color w:val="1F3050"/>
                <w:sz w:val="17"/>
                <w:szCs w:val="17"/>
              </w:rPr>
              <w:t xml:space="preserve">Scripts setup/inject/export et générateur de fiches (fait).</w:t>
            </w:r>
          </w:p>
        </w:tc>
      </w:tr>
      <w:tr>
        <w:tc>
          <w:tcPr>
            <w:tcW w:type="dxa" w:w="950"/>
            <w:shd w:fill="EDF3F9" w:val="clear"/>
            <w:tcMar>
              <w:top w:type="dxa" w:w="50"/>
              <w:left w:type="dxa" w:w="90"/>
              <w:bottom w:type="dxa" w:w="50"/>
              <w:right w:type="dxa" w:w="90"/>
            </w:tcMar>
            <w:vAlign w:val="center"/>
          </w:tcPr>
          <w:p>
            <w:pPr>
              <w:spacing w:after="20"/>
              <w:jc w:val="left"/>
            </w:pPr>
            <w:r>
              <w:rPr>
                <w:color w:val="1F3050"/>
                <w:sz w:val="17"/>
                <w:szCs w:val="17"/>
              </w:rPr>
              <w:t xml:space="preserve">J4</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Facilitateur + doctorante</w:t>
            </w:r>
          </w:p>
        </w:tc>
        <w:tc>
          <w:tcPr>
            <w:tcW w:type="dxa" w:w="6176"/>
            <w:shd w:fill="EDF3F9" w:val="clear"/>
            <w:tcMar>
              <w:top w:type="dxa" w:w="50"/>
              <w:left w:type="dxa" w:w="90"/>
              <w:bottom w:type="dxa" w:w="50"/>
              <w:right w:type="dxa" w:w="90"/>
            </w:tcMar>
            <w:vAlign w:val="center"/>
          </w:tcPr>
          <w:p>
            <w:pPr>
              <w:spacing w:after="20"/>
              <w:jc w:val="left"/>
            </w:pPr>
            <w:r>
              <w:rPr>
                <w:color w:val="1F3050"/>
                <w:sz w:val="17"/>
                <w:szCs w:val="17"/>
              </w:rPr>
              <w:t xml:space="preserve">Dry run complet (fait : cinq itérations, v5 validée) ; relecture HC9 d'un échantillon de fiches ; contrôle anti-fuite manuel ; GO/NO-GO.</w:t>
            </w:r>
          </w:p>
        </w:tc>
      </w:tr>
      <w:tr>
        <w:tc>
          <w:tcPr>
            <w:tcW w:type="dxa" w:w="950"/>
            <w:tcMar>
              <w:top w:type="dxa" w:w="50"/>
              <w:left w:type="dxa" w:w="90"/>
              <w:bottom w:type="dxa" w:w="50"/>
              <w:right w:type="dxa" w:w="90"/>
            </w:tcMar>
            <w:vAlign w:val="center"/>
          </w:tcPr>
          <w:p>
            <w:pPr>
              <w:spacing w:after="20"/>
              <w:jc w:val="left"/>
            </w:pPr>
            <w:r>
              <w:rPr>
                <w:color w:val="1F3050"/>
                <w:sz w:val="17"/>
                <w:szCs w:val="17"/>
              </w:rPr>
              <w:t xml:space="preserve">J5</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Tous (30 min)</w:t>
            </w:r>
          </w:p>
        </w:tc>
        <w:tc>
          <w:tcPr>
            <w:tcW w:type="dxa" w:w="6176"/>
            <w:tcMar>
              <w:top w:type="dxa" w:w="50"/>
              <w:left w:type="dxa" w:w="90"/>
              <w:bottom w:type="dxa" w:w="50"/>
              <w:right w:type="dxa" w:w="90"/>
            </w:tcMar>
            <w:vAlign w:val="center"/>
          </w:tcPr>
          <w:p>
            <w:pPr>
              <w:spacing w:after="20"/>
              <w:jc w:val="left"/>
            </w:pPr>
            <w:r>
              <w:rPr>
                <w:color w:val="1F3050"/>
                <w:sz w:val="17"/>
                <w:szCs w:val="17"/>
              </w:rPr>
              <w:t xml:space="preserve">Kickoff HÉLIOS : présentation du programme, remise des cartes de rôle, « signature » du contrat, tour d'entraînement T0 ; gel du protocole.</w:t>
            </w:r>
          </w:p>
        </w:tc>
      </w:tr>
      <w:tr>
        <w:tc>
          <w:tcPr>
            <w:tcW w:type="dxa" w:w="950"/>
            <w:shd w:fill="EDF3F9" w:val="clear"/>
            <w:tcMar>
              <w:top w:type="dxa" w:w="50"/>
              <w:left w:type="dxa" w:w="90"/>
              <w:bottom w:type="dxa" w:w="50"/>
              <w:right w:type="dxa" w:w="90"/>
            </w:tcMar>
            <w:vAlign w:val="center"/>
          </w:tcPr>
          <w:p>
            <w:pPr>
              <w:spacing w:after="20"/>
              <w:jc w:val="left"/>
            </w:pPr>
            <w:r>
              <w:rPr>
                <w:color w:val="1F3050"/>
                <w:sz w:val="17"/>
                <w:szCs w:val="17"/>
              </w:rPr>
              <w:t xml:space="preserve">J6-J14</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Consultants 20 min/j ; facilitateur ~30 min/j</w:t>
            </w:r>
          </w:p>
        </w:tc>
        <w:tc>
          <w:tcPr>
            <w:tcW w:type="dxa" w:w="6176"/>
            <w:shd w:fill="EDF3F9" w:val="clear"/>
            <w:tcMar>
              <w:top w:type="dxa" w:w="50"/>
              <w:left w:type="dxa" w:w="90"/>
              <w:bottom w:type="dxa" w:w="50"/>
              <w:right w:type="dxa" w:w="90"/>
            </w:tcMar>
            <w:vAlign w:val="center"/>
          </w:tcPr>
          <w:p>
            <w:pPr>
              <w:spacing w:after="20"/>
              <w:jc w:val="left"/>
            </w:pPr>
            <w:r>
              <w:rPr>
                <w:color w:val="1F3050"/>
                <w:sz w:val="17"/>
                <w:szCs w:val="17"/>
              </w:rPr>
              <w:t xml:space="preserve">Campagne : deux tours par jour (impair le matin, pair en fin de journée), soit 18 tours en neuf jours ouvrés.</w:t>
            </w:r>
          </w:p>
        </w:tc>
      </w:tr>
      <w:tr>
        <w:tc>
          <w:tcPr>
            <w:tcW w:type="dxa" w:w="950"/>
            <w:tcMar>
              <w:top w:type="dxa" w:w="50"/>
              <w:left w:type="dxa" w:w="90"/>
              <w:bottom w:type="dxa" w:w="50"/>
              <w:right w:type="dxa" w:w="90"/>
            </w:tcMar>
            <w:vAlign w:val="center"/>
          </w:tcPr>
          <w:p>
            <w:pPr>
              <w:spacing w:after="20"/>
              <w:jc w:val="left"/>
            </w:pPr>
            <w:r>
              <w:rPr>
                <w:color w:val="1F3050"/>
                <w:sz w:val="17"/>
                <w:szCs w:val="17"/>
              </w:rPr>
              <w:t xml:space="preserve">J14 (soir)</w:t>
            </w:r>
          </w:p>
        </w:tc>
        <w:tc>
          <w:tcPr>
            <w:tcW w:type="dxa" w:w="1900"/>
            <w:tcMar>
              <w:top w:type="dxa" w:w="50"/>
              <w:left w:type="dxa" w:w="90"/>
              <w:bottom w:type="dxa" w:w="50"/>
              <w:right w:type="dxa" w:w="90"/>
            </w:tcMar>
            <w:vAlign w:val="center"/>
          </w:tcPr>
          <w:p>
            <w:pPr>
              <w:spacing w:after="20"/>
              <w:jc w:val="left"/>
            </w:pPr>
            <w:r>
              <w:rPr>
                <w:color w:val="1F3050"/>
                <w:sz w:val="17"/>
                <w:szCs w:val="17"/>
              </w:rPr>
              <w:t xml:space="preserve">Facilitateur</w:t>
            </w:r>
          </w:p>
        </w:tc>
        <w:tc>
          <w:tcPr>
            <w:tcW w:type="dxa" w:w="6176"/>
            <w:tcMar>
              <w:top w:type="dxa" w:w="50"/>
              <w:left w:type="dxa" w:w="90"/>
              <w:bottom w:type="dxa" w:w="50"/>
              <w:right w:type="dxa" w:w="90"/>
            </w:tcMar>
            <w:vAlign w:val="center"/>
          </w:tcPr>
          <w:p>
            <w:pPr>
              <w:spacing w:after="20"/>
              <w:jc w:val="left"/>
            </w:pPr>
            <w:r>
              <w:rPr>
                <w:color w:val="1F3050"/>
                <w:sz w:val="17"/>
                <w:szCs w:val="17"/>
              </w:rPr>
              <w:t xml:space="preserve">Marge : rattrapage des tours incomplets (la campagne peut glisser d'une demi-journée sans casser le calendrier).</w:t>
            </w:r>
          </w:p>
        </w:tc>
      </w:tr>
      <w:tr>
        <w:tc>
          <w:tcPr>
            <w:tcW w:type="dxa" w:w="950"/>
            <w:shd w:fill="EDF3F9" w:val="clear"/>
            <w:tcMar>
              <w:top w:type="dxa" w:w="50"/>
              <w:left w:type="dxa" w:w="90"/>
              <w:bottom w:type="dxa" w:w="50"/>
              <w:right w:type="dxa" w:w="90"/>
            </w:tcMar>
            <w:vAlign w:val="center"/>
          </w:tcPr>
          <w:p>
            <w:pPr>
              <w:spacing w:after="20"/>
              <w:jc w:val="left"/>
            </w:pPr>
            <w:r>
              <w:rPr>
                <w:color w:val="1F3050"/>
                <w:sz w:val="17"/>
                <w:szCs w:val="17"/>
              </w:rPr>
              <w:t xml:space="preserve">J15</w:t>
            </w:r>
          </w:p>
        </w:tc>
        <w:tc>
          <w:tcPr>
            <w:tcW w:type="dxa" w:w="1900"/>
            <w:shd w:fill="EDF3F9" w:val="clear"/>
            <w:tcMar>
              <w:top w:type="dxa" w:w="50"/>
              <w:left w:type="dxa" w:w="90"/>
              <w:bottom w:type="dxa" w:w="50"/>
              <w:right w:type="dxa" w:w="90"/>
            </w:tcMar>
            <w:vAlign w:val="center"/>
          </w:tcPr>
          <w:p>
            <w:pPr>
              <w:spacing w:after="20"/>
              <w:jc w:val="left"/>
            </w:pPr>
            <w:r>
              <w:rPr>
                <w:color w:val="1F3050"/>
                <w:sz w:val="17"/>
                <w:szCs w:val="17"/>
              </w:rPr>
              <w:t xml:space="preserve">Facilitateur + doctorante</w:t>
            </w:r>
          </w:p>
        </w:tc>
        <w:tc>
          <w:tcPr>
            <w:tcW w:type="dxa" w:w="6176"/>
            <w:shd w:fill="EDF3F9" w:val="clear"/>
            <w:tcMar>
              <w:top w:type="dxa" w:w="50"/>
              <w:left w:type="dxa" w:w="90"/>
              <w:bottom w:type="dxa" w:w="50"/>
              <w:right w:type="dxa" w:w="90"/>
            </w:tcMar>
            <w:vAlign w:val="center"/>
          </w:tcPr>
          <w:p>
            <w:pPr>
              <w:spacing w:after="20"/>
              <w:jc w:val="left"/>
            </w:pPr>
            <w:r>
              <w:rPr>
                <w:color w:val="1F3050"/>
                <w:sz w:val="17"/>
                <w:szCs w:val="17"/>
              </w:rPr>
              <w:t xml:space="preserve">Analyse (analyse_campagne.py) et débrief-reveal collectif (30 min) : révélation de la crise réelle, question « à quel tour l'aviez-vous reconnue ? » (HC4), restitution des courbes à chaud.</w:t>
            </w:r>
          </w:p>
        </w:tc>
      </w:tr>
    </w:tbl>
    <w:p>
      <w:pPr>
        <w:spacing w:after="160"/>
      </w:pPr>
    </w:p>
    <w:p>
      <w:pPr>
        <w:spacing w:after="120" w:line="276"/>
        <w:jc w:val="both"/>
      </w:pPr>
      <w:r>
        <w:t xml:space="preserve">Une décision de débordement est pré-actée : si la campagne déborde de plus de deux tours à J14, la fenêtre est tronquée à T16 (décembre 2021) plutôt que de bâcler les réponses.</w:t>
      </w:r>
    </w:p>
    <w:p>
      <w:pPr>
        <w:pStyle w:val="Heading2"/>
        <w:spacing w:after="130" w:before="260"/>
      </w:pPr>
      <w:r>
        <w:t xml:space="preserve">8.3 Journée type de campagne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100"/>
        <w:gridCol w:w="4600"/>
        <w:gridCol w:w="3326"/>
      </w:tblGrid>
      <w:tr>
        <w:trPr>
          <w:tblHeader/>
        </w:trPr>
        <w:tc>
          <w:tcPr>
            <w:tcW w:type="dxa" w:w="1100"/>
            <w:shd w:fill="0072BC" w:val="clear"/>
            <w:tcMar>
              <w:top w:type="dxa" w:w="50"/>
              <w:left w:type="dxa" w:w="90"/>
              <w:bottom w:type="dxa" w:w="50"/>
              <w:right w:type="dxa" w:w="90"/>
            </w:tcMar>
            <w:vAlign w:val="center"/>
          </w:tcPr>
          <w:p>
            <w:pPr>
              <w:spacing w:after="20"/>
              <w:jc w:val="left"/>
            </w:pPr>
            <w:r>
              <w:rPr>
                <w:b/>
                <w:bCs/>
                <w:color w:val="FFFFFF"/>
                <w:sz w:val="17"/>
                <w:szCs w:val="17"/>
              </w:rPr>
              <w:t xml:space="preserve">Heure</w:t>
            </w:r>
          </w:p>
        </w:tc>
        <w:tc>
          <w:tcPr>
            <w:tcW w:type="dxa" w:w="4600"/>
            <w:shd w:fill="0072BC" w:val="clear"/>
            <w:tcMar>
              <w:top w:type="dxa" w:w="50"/>
              <w:left w:type="dxa" w:w="90"/>
              <w:bottom w:type="dxa" w:w="50"/>
              <w:right w:type="dxa" w:w="90"/>
            </w:tcMar>
            <w:vAlign w:val="center"/>
          </w:tcPr>
          <w:p>
            <w:pPr>
              <w:spacing w:after="20"/>
              <w:jc w:val="left"/>
            </w:pPr>
            <w:r>
              <w:rPr>
                <w:b/>
                <w:bCs/>
                <w:color w:val="FFFFFF"/>
                <w:sz w:val="17"/>
                <w:szCs w:val="17"/>
              </w:rPr>
              <w:t xml:space="preserve">Action</w:t>
            </w:r>
          </w:p>
        </w:tc>
        <w:tc>
          <w:tcPr>
            <w:tcW w:type="dxa" w:w="3326"/>
            <w:shd w:fill="0072BC" w:val="clear"/>
            <w:tcMar>
              <w:top w:type="dxa" w:w="50"/>
              <w:left w:type="dxa" w:w="90"/>
              <w:bottom w:type="dxa" w:w="50"/>
              <w:right w:type="dxa" w:w="90"/>
            </w:tcMar>
            <w:vAlign w:val="center"/>
          </w:tcPr>
          <w:p>
            <w:pPr>
              <w:spacing w:after="20"/>
              <w:jc w:val="left"/>
            </w:pPr>
            <w:r>
              <w:rPr>
                <w:b/>
                <w:bCs/>
                <w:color w:val="FFFFFF"/>
                <w:sz w:val="17"/>
                <w:szCs w:val="17"/>
              </w:rPr>
              <w:t xml:space="preserve">Commande</w:t>
            </w:r>
          </w:p>
        </w:tc>
      </w:tr>
      <w:tr>
        <w:tc>
          <w:tcPr>
            <w:tcW w:type="dxa" w:w="1100"/>
            <w:tcMar>
              <w:top w:type="dxa" w:w="50"/>
              <w:left w:type="dxa" w:w="90"/>
              <w:bottom w:type="dxa" w:w="50"/>
              <w:right w:type="dxa" w:w="90"/>
            </w:tcMar>
            <w:vAlign w:val="center"/>
          </w:tcPr>
          <w:p>
            <w:pPr>
              <w:spacing w:after="20"/>
              <w:jc w:val="left"/>
            </w:pPr>
            <w:r>
              <w:rPr>
                <w:color w:val="1F3050"/>
                <w:sz w:val="17"/>
                <w:szCs w:val="17"/>
              </w:rPr>
              <w:t xml:space="preserve">8h45</w:t>
            </w:r>
          </w:p>
        </w:tc>
        <w:tc>
          <w:tcPr>
            <w:tcW w:type="dxa" w:w="4600"/>
            <w:tcMar>
              <w:top w:type="dxa" w:w="50"/>
              <w:left w:type="dxa" w:w="90"/>
              <w:bottom w:type="dxa" w:w="50"/>
              <w:right w:type="dxa" w:w="90"/>
            </w:tcMar>
            <w:vAlign w:val="center"/>
          </w:tcPr>
          <w:p>
            <w:pPr>
              <w:spacing w:after="20"/>
              <w:jc w:val="left"/>
            </w:pPr>
            <w:r>
              <w:rPr>
                <w:color w:val="1F3050"/>
                <w:sz w:val="17"/>
                <w:szCs w:val="17"/>
              </w:rPr>
              <w:t xml:space="preserve">Injection du tour N (KPIs, jalons, événements)</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inject_tour.py --tour N --db-dir &lt;DB&gt;</w:t>
            </w:r>
          </w:p>
        </w:tc>
      </w:tr>
      <w:tr>
        <w:tc>
          <w:tcPr>
            <w:tcW w:type="dxa" w:w="1100"/>
            <w:shd w:fill="EDF3F9" w:val="clear"/>
            <w:tcMar>
              <w:top w:type="dxa" w:w="50"/>
              <w:left w:type="dxa" w:w="90"/>
              <w:bottom w:type="dxa" w:w="50"/>
              <w:right w:type="dxa" w:w="90"/>
            </w:tcMar>
            <w:vAlign w:val="center"/>
          </w:tcPr>
          <w:p>
            <w:pPr>
              <w:spacing w:after="20"/>
              <w:jc w:val="left"/>
            </w:pPr>
            <w:r>
              <w:rPr>
                <w:color w:val="1F3050"/>
                <w:sz w:val="17"/>
                <w:szCs w:val="17"/>
              </w:rPr>
              <w:t xml:space="preserve">8h50</w:t>
            </w:r>
          </w:p>
        </w:tc>
        <w:tc>
          <w:tcPr>
            <w:tcW w:type="dxa" w:w="4600"/>
            <w:shd w:fill="EDF3F9" w:val="clear"/>
            <w:tcMar>
              <w:top w:type="dxa" w:w="50"/>
              <w:left w:type="dxa" w:w="90"/>
              <w:bottom w:type="dxa" w:w="50"/>
              <w:right w:type="dxa" w:w="90"/>
            </w:tcMar>
            <w:vAlign w:val="center"/>
          </w:tcPr>
          <w:p>
            <w:pPr>
              <w:spacing w:after="20"/>
              <w:jc w:val="left"/>
            </w:pPr>
            <w:r>
              <w:rPr>
                <w:color w:val="1F3050"/>
                <w:sz w:val="17"/>
                <w:szCs w:val="17"/>
              </w:rPr>
              <w:t xml:space="preserve">Génération et distribution des fiches du tour</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make_briefings.py --tour N (+ --placebo aux tours 9 et 15)</w:t>
            </w:r>
          </w:p>
        </w:tc>
      </w:tr>
      <w:tr>
        <w:tc>
          <w:tcPr>
            <w:tcW w:type="dxa" w:w="1100"/>
            <w:tcMar>
              <w:top w:type="dxa" w:w="50"/>
              <w:left w:type="dxa" w:w="90"/>
              <w:bottom w:type="dxa" w:w="50"/>
              <w:right w:type="dxa" w:w="90"/>
            </w:tcMar>
            <w:vAlign w:val="center"/>
          </w:tcPr>
          <w:p>
            <w:pPr>
              <w:spacing w:after="20"/>
              <w:jc w:val="left"/>
            </w:pPr>
            <w:r>
              <w:rPr>
                <w:color w:val="1F3050"/>
                <w:sz w:val="17"/>
                <w:szCs w:val="17"/>
              </w:rPr>
              <w:t xml:space="preserve">9h00-11h00</w:t>
            </w:r>
          </w:p>
        </w:tc>
        <w:tc>
          <w:tcPr>
            <w:tcW w:type="dxa" w:w="4600"/>
            <w:tcMar>
              <w:top w:type="dxa" w:w="50"/>
              <w:left w:type="dxa" w:w="90"/>
              <w:bottom w:type="dxa" w:w="50"/>
              <w:right w:type="dxa" w:w="90"/>
            </w:tcMar>
            <w:vAlign w:val="center"/>
          </w:tcPr>
          <w:p>
            <w:pPr>
              <w:spacing w:after="20"/>
              <w:jc w:val="left"/>
            </w:pPr>
            <w:r>
              <w:rPr>
                <w:color w:val="1F3050"/>
                <w:sz w:val="17"/>
                <w:szCs w:val="17"/>
              </w:rPr>
              <w:t xml:space="preserve">Fenêtre de réponse du matin (AHP dans l'UI, ≤ 10 min par consultant)</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(aucune)</w:t>
            </w:r>
          </w:p>
        </w:tc>
      </w:tr>
      <w:tr>
        <w:tc>
          <w:tcPr>
            <w:tcW w:type="dxa" w:w="1100"/>
            <w:shd w:fill="EDF3F9" w:val="clear"/>
            <w:tcMar>
              <w:top w:type="dxa" w:w="50"/>
              <w:left w:type="dxa" w:w="90"/>
              <w:bottom w:type="dxa" w:w="50"/>
              <w:right w:type="dxa" w:w="90"/>
            </w:tcMar>
            <w:vAlign w:val="center"/>
          </w:tcPr>
          <w:p>
            <w:pPr>
              <w:spacing w:after="20"/>
              <w:jc w:val="left"/>
            </w:pPr>
            <w:r>
              <w:rPr>
                <w:color w:val="1F3050"/>
                <w:sz w:val="17"/>
                <w:szCs w:val="17"/>
              </w:rPr>
              <w:t xml:space="preserve">11h00</w:t>
            </w:r>
          </w:p>
        </w:tc>
        <w:tc>
          <w:tcPr>
            <w:tcW w:type="dxa" w:w="4600"/>
            <w:shd w:fill="EDF3F9" w:val="clear"/>
            <w:tcMar>
              <w:top w:type="dxa" w:w="50"/>
              <w:left w:type="dxa" w:w="90"/>
              <w:bottom w:type="dxa" w:w="50"/>
              <w:right w:type="dxa" w:w="90"/>
            </w:tcMar>
            <w:vAlign w:val="center"/>
          </w:tcPr>
          <w:p>
            <w:pPr>
              <w:spacing w:after="20"/>
              <w:jc w:val="left"/>
            </w:pPr>
            <w:r>
              <w:rPr>
                <w:color w:val="1F3050"/>
                <w:sz w:val="17"/>
                <w:szCs w:val="17"/>
              </w:rPr>
              <w:t xml:space="preserve">Vérifier la couverture 8/8, relancer les manquants</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export_state.py --db-dir &lt;DB&gt;</w:t>
            </w:r>
          </w:p>
        </w:tc>
      </w:tr>
      <w:tr>
        <w:tc>
          <w:tcPr>
            <w:tcW w:type="dxa" w:w="1100"/>
            <w:tcMar>
              <w:top w:type="dxa" w:w="50"/>
              <w:left w:type="dxa" w:w="90"/>
              <w:bottom w:type="dxa" w:w="50"/>
              <w:right w:type="dxa" w:w="90"/>
            </w:tcMar>
            <w:vAlign w:val="center"/>
          </w:tcPr>
          <w:p>
            <w:pPr>
              <w:spacing w:after="20"/>
              <w:jc w:val="left"/>
            </w:pPr>
            <w:r>
              <w:rPr>
                <w:color w:val="1F3050"/>
                <w:sz w:val="17"/>
                <w:szCs w:val="17"/>
              </w:rPr>
              <w:t xml:space="preserve">11h30</w:t>
            </w:r>
          </w:p>
        </w:tc>
        <w:tc>
          <w:tcPr>
            <w:tcW w:type="dxa" w:w="4600"/>
            <w:tcMar>
              <w:top w:type="dxa" w:w="50"/>
              <w:left w:type="dxa" w:w="90"/>
              <w:bottom w:type="dxa" w:w="50"/>
              <w:right w:type="dxa" w:w="90"/>
            </w:tcMar>
            <w:vAlign w:val="center"/>
          </w:tcPr>
          <w:p>
            <w:pPr>
              <w:spacing w:after="20"/>
              <w:jc w:val="left"/>
            </w:pPr>
            <w:r>
              <w:rPr>
                <w:color w:val="1F3050"/>
                <w:sz w:val="17"/>
                <w:szCs w:val="17"/>
              </w:rPr>
              <w:t xml:space="preserve">Clôture du tour N</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inject_tour.py --tour N --advance-only --db-dir &lt;DB&gt;</w:t>
            </w:r>
          </w:p>
        </w:tc>
      </w:tr>
      <w:tr>
        <w:tc>
          <w:tcPr>
            <w:tcW w:type="dxa" w:w="1100"/>
            <w:shd w:fill="EDF3F9" w:val="clear"/>
            <w:tcMar>
              <w:top w:type="dxa" w:w="50"/>
              <w:left w:type="dxa" w:w="90"/>
              <w:bottom w:type="dxa" w:w="50"/>
              <w:right w:type="dxa" w:w="90"/>
            </w:tcMar>
            <w:vAlign w:val="center"/>
          </w:tcPr>
          <w:p>
            <w:pPr>
              <w:spacing w:after="20"/>
              <w:jc w:val="left"/>
            </w:pPr>
            <w:r>
              <w:rPr>
                <w:color w:val="1F3050"/>
                <w:sz w:val="17"/>
                <w:szCs w:val="17"/>
              </w:rPr>
              <w:t xml:space="preserve">16h30</w:t>
            </w:r>
          </w:p>
        </w:tc>
        <w:tc>
          <w:tcPr>
            <w:tcW w:type="dxa" w:w="4600"/>
            <w:shd w:fill="EDF3F9" w:val="clear"/>
            <w:tcMar>
              <w:top w:type="dxa" w:w="50"/>
              <w:left w:type="dxa" w:w="90"/>
              <w:bottom w:type="dxa" w:w="50"/>
              <w:right w:type="dxa" w:w="90"/>
            </w:tcMar>
            <w:vAlign w:val="center"/>
          </w:tcPr>
          <w:p>
            <w:pPr>
              <w:spacing w:after="20"/>
              <w:jc w:val="left"/>
            </w:pPr>
            <w:r>
              <w:rPr>
                <w:color w:val="1F3050"/>
                <w:sz w:val="17"/>
                <w:szCs w:val="17"/>
              </w:rPr>
              <w:t xml:space="preserve">Injection du tour N+1 et fiches</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idem matin</w:t>
            </w:r>
          </w:p>
        </w:tc>
      </w:tr>
      <w:tr>
        <w:tc>
          <w:tcPr>
            <w:tcW w:type="dxa" w:w="1100"/>
            <w:tcMar>
              <w:top w:type="dxa" w:w="50"/>
              <w:left w:type="dxa" w:w="90"/>
              <w:bottom w:type="dxa" w:w="50"/>
              <w:right w:type="dxa" w:w="90"/>
            </w:tcMar>
            <w:vAlign w:val="center"/>
          </w:tcPr>
          <w:p>
            <w:pPr>
              <w:spacing w:after="20"/>
              <w:jc w:val="left"/>
            </w:pPr>
            <w:r>
              <w:rPr>
                <w:color w:val="1F3050"/>
                <w:sz w:val="17"/>
                <w:szCs w:val="17"/>
              </w:rPr>
              <w:t xml:space="preserve">16h45-17h45</w:t>
            </w:r>
          </w:p>
        </w:tc>
        <w:tc>
          <w:tcPr>
            <w:tcW w:type="dxa" w:w="4600"/>
            <w:tcMar>
              <w:top w:type="dxa" w:w="50"/>
              <w:left w:type="dxa" w:w="90"/>
              <w:bottom w:type="dxa" w:w="50"/>
              <w:right w:type="dxa" w:w="90"/>
            </w:tcMar>
            <w:vAlign w:val="center"/>
          </w:tcPr>
          <w:p>
            <w:pPr>
              <w:spacing w:after="20"/>
              <w:jc w:val="left"/>
            </w:pPr>
            <w:r>
              <w:rPr>
                <w:color w:val="1F3050"/>
                <w:sz w:val="17"/>
                <w:szCs w:val="17"/>
              </w:rPr>
              <w:t xml:space="preserve">Fenêtre de réponse du soir</w:t>
            </w:r>
          </w:p>
        </w:tc>
        <w:tc>
          <w:tcPr>
            <w:tcW w:type="dxa" w:w="3326"/>
            <w:tcMar>
              <w:top w:type="dxa" w:w="50"/>
              <w:left w:type="dxa" w:w="90"/>
              <w:bottom w:type="dxa" w:w="50"/>
              <w:right w:type="dxa" w:w="90"/>
            </w:tcMar>
            <w:vAlign w:val="center"/>
          </w:tcPr>
          <w:p>
            <w:pPr>
              <w:spacing w:after="20"/>
              <w:jc w:val="left"/>
            </w:pPr>
            <w:r>
              <w:rPr>
                <w:color w:val="1F3050"/>
                <w:sz w:val="17"/>
                <w:szCs w:val="17"/>
              </w:rPr>
              <w:t xml:space="preserve">(aucune)</w:t>
            </w:r>
          </w:p>
        </w:tc>
      </w:tr>
      <w:tr>
        <w:tc>
          <w:tcPr>
            <w:tcW w:type="dxa" w:w="1100"/>
            <w:shd w:fill="EDF3F9" w:val="clear"/>
            <w:tcMar>
              <w:top w:type="dxa" w:w="50"/>
              <w:left w:type="dxa" w:w="90"/>
              <w:bottom w:type="dxa" w:w="50"/>
              <w:right w:type="dxa" w:w="90"/>
            </w:tcMar>
            <w:vAlign w:val="center"/>
          </w:tcPr>
          <w:p>
            <w:pPr>
              <w:spacing w:after="20"/>
              <w:jc w:val="left"/>
            </w:pPr>
            <w:r>
              <w:rPr>
                <w:color w:val="1F3050"/>
                <w:sz w:val="17"/>
                <w:szCs w:val="17"/>
              </w:rPr>
              <w:t xml:space="preserve">17h45</w:t>
            </w:r>
          </w:p>
        </w:tc>
        <w:tc>
          <w:tcPr>
            <w:tcW w:type="dxa" w:w="4600"/>
            <w:shd w:fill="EDF3F9" w:val="clear"/>
            <w:tcMar>
              <w:top w:type="dxa" w:w="50"/>
              <w:left w:type="dxa" w:w="90"/>
              <w:bottom w:type="dxa" w:w="50"/>
              <w:right w:type="dxa" w:w="90"/>
            </w:tcMar>
            <w:vAlign w:val="center"/>
          </w:tcPr>
          <w:p>
            <w:pPr>
              <w:spacing w:after="20"/>
              <w:jc w:val="left"/>
            </w:pPr>
            <w:r>
              <w:rPr>
                <w:color w:val="1F3050"/>
                <w:sz w:val="17"/>
                <w:szCs w:val="17"/>
              </w:rPr>
              <w:t xml:space="preserve">Couverture, relances, clôture, journal de campagne</w:t>
            </w:r>
          </w:p>
        </w:tc>
        <w:tc>
          <w:tcPr>
            <w:tcW w:type="dxa" w:w="3326"/>
            <w:shd w:fill="EDF3F9" w:val="clear"/>
            <w:tcMar>
              <w:top w:type="dxa" w:w="50"/>
              <w:left w:type="dxa" w:w="90"/>
              <w:bottom w:type="dxa" w:w="50"/>
              <w:right w:type="dxa" w:w="90"/>
            </w:tcMar>
            <w:vAlign w:val="center"/>
          </w:tcPr>
          <w:p>
            <w:pPr>
              <w:spacing w:after="20"/>
              <w:jc w:val="left"/>
            </w:pPr>
            <w:r>
              <w:rPr>
                <w:color w:val="1F3050"/>
                <w:sz w:val="17"/>
                <w:szCs w:val="17"/>
              </w:rPr>
              <w:t xml:space="preserve">idem matin + note dans JOURNAL.md</w:t>
            </w:r>
          </w:p>
        </w:tc>
      </w:tr>
    </w:tbl>
    <w:p>
      <w:pPr>
        <w:spacing w:after="160"/>
      </w:pPr>
    </w:p>
    <w:p>
      <w:pPr>
        <w:pStyle w:val="Heading2"/>
        <w:spacing w:after="130" w:before="260"/>
      </w:pPr>
      <w:r>
        <w:t xml:space="preserve">8.4 Instructions remises aux consultants</w:t>
      </w:r>
    </w:p>
    <w:p>
      <w:pPr>
        <w:pStyle w:val="ListParagraph"/>
        <w:numPr>
          <w:ilvl w:val="0"/>
          <w:numId w:val="4"/>
        </w:numPr>
        <w:spacing w:after="60" w:line="264"/>
        <w:jc w:val="both"/>
      </w:pPr>
      <w:r>
        <w:t xml:space="preserve">Deux fois par jour (matin, fin de journée), lisez VOTRE fiche du tour puis remplissez le volet AHP dans l'outil : dix minutes maximum.</w:t>
      </w:r>
    </w:p>
    <w:p>
      <w:pPr>
        <w:pStyle w:val="ListParagraph"/>
        <w:numPr>
          <w:ilvl w:val="0"/>
          <w:numId w:val="4"/>
        </w:numPr>
        <w:spacing w:after="60" w:line="264"/>
        <w:jc w:val="both"/>
      </w:pPr>
      <w:r>
        <w:t xml:space="preserve">Les quatre critères comparés : impact opérationnel, fenêtre temporelle, dépendances aval, récupérabilité.</w:t>
      </w:r>
    </w:p>
    <w:p>
      <w:pPr>
        <w:pStyle w:val="ListParagraph"/>
        <w:numPr>
          <w:ilvl w:val="0"/>
          <w:numId w:val="4"/>
        </w:numPr>
        <w:spacing w:after="60" w:line="264"/>
        <w:jc w:val="both"/>
      </w:pPr>
      <w:r>
        <w:t xml:space="preserve">L'outil refuse un questionnaire incohérent (CR ≥ 0.10) : il vous guide vers la comparaison la plus contradictoire ; deux tentatives, sinon prévenez le facilitateur (règle de report).</w:t>
      </w:r>
    </w:p>
    <w:p>
      <w:pPr>
        <w:pStyle w:val="ListParagraph"/>
        <w:numPr>
          <w:ilvl w:val="0"/>
          <w:numId w:val="4"/>
        </w:numPr>
        <w:spacing w:after="60" w:line="264"/>
        <w:jc w:val="both"/>
      </w:pPr>
      <w:r>
        <w:t xml:space="preserve">Vous ne voyez QUE votre fiche. Pas de concertation entre rôles pendant la campagne, déjeuners compris.</w:t>
      </w:r>
    </w:p>
    <w:p>
      <w:pPr>
        <w:pStyle w:val="ListParagraph"/>
        <w:numPr>
          <w:ilvl w:val="0"/>
          <w:numId w:val="4"/>
        </w:numPr>
        <w:spacing w:after="60" w:line="264"/>
        <w:jc w:val="both"/>
      </w:pPr>
      <w:r>
        <w:t xml:space="preserve">N'ouvrez ni le tableau de bord ni les scores : uniquement la page questionnaire. Vos scores vous seront montrés au débrief.</w:t>
      </w:r>
    </w:p>
    <w:p>
      <w:pPr>
        <w:pStyle w:val="ListParagraph"/>
        <w:numPr>
          <w:ilvl w:val="0"/>
          <w:numId w:val="4"/>
        </w:numPr>
        <w:spacing w:after="60" w:line="264"/>
        <w:jc w:val="both"/>
      </w:pPr>
      <w:r>
        <w:t xml:space="preserve">Il n'y a pas de bonne réponse : déclarez ce que vous percevez, pas ce que vous croyez attendu.</w:t>
      </w:r>
    </w:p>
    <w:p>
      <w:pPr>
        <w:pStyle w:val="Heading2"/>
        <w:spacing w:after="130" w:before="260"/>
      </w:pPr>
      <w:r>
        <w:t xml:space="preserve">8.5 Contingences pré-actées</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3400"/>
        <w:gridCol w:w="5626"/>
      </w:tblGrid>
      <w:tr>
        <w:trPr>
          <w:tblHeader/>
        </w:trPr>
        <w:tc>
          <w:tcPr>
            <w:tcW w:type="dxa" w:w="3400"/>
            <w:shd w:fill="0072BC" w:val="clear"/>
            <w:tcMar>
              <w:top w:type="dxa" w:w="50"/>
              <w:left w:type="dxa" w:w="90"/>
              <w:bottom w:type="dxa" w:w="50"/>
              <w:right w:type="dxa" w:w="90"/>
            </w:tcMar>
            <w:vAlign w:val="center"/>
          </w:tcPr>
          <w:p>
            <w:pPr>
              <w:spacing w:after="20"/>
              <w:jc w:val="left"/>
            </w:pPr>
            <w:r>
              <w:rPr>
                <w:b/>
                <w:bCs/>
                <w:color w:val="FFFFFF"/>
                <w:sz w:val="17"/>
                <w:szCs w:val="17"/>
              </w:rPr>
              <w:t xml:space="preserve">Situation</w:t>
            </w:r>
          </w:p>
        </w:tc>
        <w:tc>
          <w:tcPr>
            <w:tcW w:type="dxa" w:w="5626"/>
            <w:shd w:fill="0072BC" w:val="clear"/>
            <w:tcMar>
              <w:top w:type="dxa" w:w="50"/>
              <w:left w:type="dxa" w:w="90"/>
              <w:bottom w:type="dxa" w:w="50"/>
              <w:right w:type="dxa" w:w="90"/>
            </w:tcMar>
            <w:vAlign w:val="center"/>
          </w:tcPr>
          <w:p>
            <w:pPr>
              <w:spacing w:after="20"/>
              <w:jc w:val="left"/>
            </w:pPr>
            <w:r>
              <w:rPr>
                <w:b/>
                <w:bCs/>
                <w:color w:val="FFFFFF"/>
                <w:sz w:val="17"/>
                <w:szCs w:val="17"/>
              </w:rPr>
              <w:t xml:space="preserve">Règle</w:t>
            </w:r>
          </w:p>
        </w:tc>
      </w:tr>
      <w:tr>
        <w:tc>
          <w:tcPr>
            <w:tcW w:type="dxa" w:w="3400"/>
            <w:tcMar>
              <w:top w:type="dxa" w:w="50"/>
              <w:left w:type="dxa" w:w="90"/>
              <w:bottom w:type="dxa" w:w="50"/>
              <w:right w:type="dxa" w:w="90"/>
            </w:tcMar>
            <w:vAlign w:val="center"/>
          </w:tcPr>
          <w:p>
            <w:pPr>
              <w:spacing w:after="20"/>
              <w:jc w:val="left"/>
            </w:pPr>
            <w:r>
              <w:rPr>
                <w:color w:val="1F3050"/>
                <w:sz w:val="17"/>
                <w:szCs w:val="17"/>
              </w:rPr>
              <w:t xml:space="preserve">Consultant absent sur un créneau</w:t>
            </w:r>
          </w:p>
        </w:tc>
        <w:tc>
          <w:tcPr>
            <w:tcW w:type="dxa" w:w="5626"/>
            <w:tcMar>
              <w:top w:type="dxa" w:w="50"/>
              <w:left w:type="dxa" w:w="90"/>
              <w:bottom w:type="dxa" w:w="50"/>
              <w:right w:type="dxa" w:w="90"/>
            </w:tcMar>
            <w:vAlign w:val="center"/>
          </w:tcPr>
          <w:p>
            <w:pPr>
              <w:spacing w:after="20"/>
              <w:jc w:val="left"/>
            </w:pPr>
            <w:r>
              <w:rPr>
                <w:color w:val="1F3050"/>
                <w:sz w:val="17"/>
                <w:szCs w:val="17"/>
              </w:rPr>
              <w:t xml:space="preserve">Le facilitateur pose « confirmer à l'identique » avec la note absent_T{N} : tracé, exclu des analyses de réactivité.</w:t>
            </w:r>
          </w:p>
        </w:tc>
      </w:tr>
      <w:tr>
        <w:tc>
          <w:tcPr>
            <w:tcW w:type="dxa" w:w="3400"/>
            <w:shd w:fill="EDF3F9" w:val="clear"/>
            <w:tcMar>
              <w:top w:type="dxa" w:w="50"/>
              <w:left w:type="dxa" w:w="90"/>
              <w:bottom w:type="dxa" w:w="50"/>
              <w:right w:type="dxa" w:w="90"/>
            </w:tcMar>
            <w:vAlign w:val="center"/>
          </w:tcPr>
          <w:p>
            <w:pPr>
              <w:spacing w:after="20"/>
              <w:jc w:val="left"/>
            </w:pPr>
            <w:r>
              <w:rPr>
                <w:color w:val="1F3050"/>
                <w:sz w:val="17"/>
                <w:szCs w:val="17"/>
              </w:rPr>
              <w:t xml:space="preserve">Deux absences consécutives</w:t>
            </w:r>
          </w:p>
        </w:tc>
        <w:tc>
          <w:tcPr>
            <w:tcW w:type="dxa" w:w="5626"/>
            <w:shd w:fill="EDF3F9" w:val="clear"/>
            <w:tcMar>
              <w:top w:type="dxa" w:w="50"/>
              <w:left w:type="dxa" w:w="90"/>
              <w:bottom w:type="dxa" w:w="50"/>
              <w:right w:type="dxa" w:w="90"/>
            </w:tcMar>
            <w:vAlign w:val="center"/>
          </w:tcPr>
          <w:p>
            <w:pPr>
              <w:spacing w:after="20"/>
              <w:jc w:val="left"/>
            </w:pPr>
            <w:r>
              <w:rPr>
                <w:color w:val="1F3050"/>
                <w:sz w:val="17"/>
                <w:szCs w:val="17"/>
              </w:rPr>
              <w:t xml:space="preserve">Nœud marqué pour analyse de sensibilité (exclusion testée en U10).</w:t>
            </w:r>
          </w:p>
        </w:tc>
      </w:tr>
      <w:tr>
        <w:tc>
          <w:tcPr>
            <w:tcW w:type="dxa" w:w="3400"/>
            <w:tcMar>
              <w:top w:type="dxa" w:w="50"/>
              <w:left w:type="dxa" w:w="90"/>
              <w:bottom w:type="dxa" w:w="50"/>
              <w:right w:type="dxa" w:w="90"/>
            </w:tcMar>
            <w:vAlign w:val="center"/>
          </w:tcPr>
          <w:p>
            <w:pPr>
              <w:spacing w:after="20"/>
              <w:jc w:val="left"/>
            </w:pPr>
            <w:r>
              <w:rPr>
                <w:color w:val="1F3050"/>
                <w:sz w:val="17"/>
                <w:szCs w:val="17"/>
              </w:rPr>
              <w:t xml:space="preserve">CR ≥ 0.10 après deux tentatives</w:t>
            </w:r>
          </w:p>
        </w:tc>
        <w:tc>
          <w:tcPr>
            <w:tcW w:type="dxa" w:w="5626"/>
            <w:tcMar>
              <w:top w:type="dxa" w:w="50"/>
              <w:left w:type="dxa" w:w="90"/>
              <w:bottom w:type="dxa" w:w="50"/>
              <w:right w:type="dxa" w:w="90"/>
            </w:tcMar>
            <w:vAlign w:val="center"/>
          </w:tcPr>
          <w:p>
            <w:pPr>
              <w:spacing w:after="20"/>
              <w:jc w:val="left"/>
            </w:pPr>
            <w:r>
              <w:rPr>
                <w:color w:val="1F3050"/>
                <w:sz w:val="17"/>
                <w:szCs w:val="17"/>
              </w:rPr>
              <w:t xml:space="preserve">Report « à l'identique » avec note cr_echec_T{N}.</w:t>
            </w:r>
          </w:p>
        </w:tc>
      </w:tr>
      <w:tr>
        <w:tc>
          <w:tcPr>
            <w:tcW w:type="dxa" w:w="3400"/>
            <w:shd w:fill="EDF3F9" w:val="clear"/>
            <w:tcMar>
              <w:top w:type="dxa" w:w="50"/>
              <w:left w:type="dxa" w:w="90"/>
              <w:bottom w:type="dxa" w:w="50"/>
              <w:right w:type="dxa" w:w="90"/>
            </w:tcMar>
            <w:vAlign w:val="center"/>
          </w:tcPr>
          <w:p>
            <w:pPr>
              <w:spacing w:after="20"/>
              <w:jc w:val="left"/>
            </w:pPr>
            <w:r>
              <w:rPr>
                <w:color w:val="1F3050"/>
                <w:sz w:val="17"/>
                <w:szCs w:val="17"/>
              </w:rPr>
              <w:t xml:space="preserve">Incident technique</w:t>
            </w:r>
          </w:p>
        </w:tc>
        <w:tc>
          <w:tcPr>
            <w:tcW w:type="dxa" w:w="5626"/>
            <w:shd w:fill="EDF3F9" w:val="clear"/>
            <w:tcMar>
              <w:top w:type="dxa" w:w="50"/>
              <w:left w:type="dxa" w:w="90"/>
              <w:bottom w:type="dxa" w:w="50"/>
              <w:right w:type="dxa" w:w="90"/>
            </w:tcMar>
            <w:vAlign w:val="center"/>
          </w:tcPr>
          <w:p>
            <w:pPr>
              <w:spacing w:after="20"/>
              <w:jc w:val="left"/>
            </w:pPr>
            <w:r>
              <w:rPr>
                <w:color w:val="1F3050"/>
                <w:sz w:val="17"/>
                <w:szCs w:val="17"/>
              </w:rPr>
              <w:t xml:space="preserve">Base sauvegardée à chaque clôture (backups/) ; restauration en dézippant la dernière archive dans le db-dir.</w:t>
            </w:r>
          </w:p>
        </w:tc>
      </w:tr>
      <w:tr>
        <w:tc>
          <w:tcPr>
            <w:tcW w:type="dxa" w:w="3400"/>
            <w:tcMar>
              <w:top w:type="dxa" w:w="50"/>
              <w:left w:type="dxa" w:w="90"/>
              <w:bottom w:type="dxa" w:w="50"/>
              <w:right w:type="dxa" w:w="90"/>
            </w:tcMar>
            <w:vAlign w:val="center"/>
          </w:tcPr>
          <w:p>
            <w:pPr>
              <w:spacing w:after="20"/>
              <w:jc w:val="left"/>
            </w:pPr>
            <w:r>
              <w:rPr>
                <w:color w:val="1F3050"/>
                <w:sz w:val="17"/>
                <w:szCs w:val="17"/>
              </w:rPr>
              <w:t xml:space="preserve">AHP &gt; 10 min constaté à T0</w:t>
            </w:r>
          </w:p>
        </w:tc>
        <w:tc>
          <w:tcPr>
            <w:tcW w:type="dxa" w:w="5626"/>
            <w:tcMar>
              <w:top w:type="dxa" w:w="50"/>
              <w:left w:type="dxa" w:w="90"/>
              <w:bottom w:type="dxa" w:w="50"/>
              <w:right w:type="dxa" w:w="90"/>
            </w:tcMar>
            <w:vAlign w:val="center"/>
          </w:tcPr>
          <w:p>
            <w:pPr>
              <w:spacing w:after="20"/>
              <w:jc w:val="left"/>
            </w:pPr>
            <w:r>
              <w:rPr>
                <w:color w:val="1F3050"/>
                <w:sz w:val="17"/>
                <w:szCs w:val="17"/>
              </w:rPr>
              <w:t xml:space="preserve">Passage à un tour par jour et fenêtre tronquée à T16 (HC2).</w:t>
            </w:r>
          </w:p>
        </w:tc>
      </w:tr>
      <w:tr>
        <w:tc>
          <w:tcPr>
            <w:tcW w:type="dxa" w:w="3400"/>
            <w:shd w:fill="EDF3F9" w:val="clear"/>
            <w:tcMar>
              <w:top w:type="dxa" w:w="50"/>
              <w:left w:type="dxa" w:w="90"/>
              <w:bottom w:type="dxa" w:w="50"/>
              <w:right w:type="dxa" w:w="90"/>
            </w:tcMar>
            <w:vAlign w:val="center"/>
          </w:tcPr>
          <w:p>
            <w:pPr>
              <w:spacing w:after="20"/>
              <w:jc w:val="left"/>
            </w:pPr>
            <w:r>
              <w:rPr>
                <w:color w:val="1F3050"/>
                <w:sz w:val="17"/>
                <w:szCs w:val="17"/>
              </w:rPr>
              <w:t xml:space="preserve">Débordement &gt; 2 tours à J14</w:t>
            </w:r>
          </w:p>
        </w:tc>
        <w:tc>
          <w:tcPr>
            <w:tcW w:type="dxa" w:w="5626"/>
            <w:shd w:fill="EDF3F9" w:val="clear"/>
            <w:tcMar>
              <w:top w:type="dxa" w:w="50"/>
              <w:left w:type="dxa" w:w="90"/>
              <w:bottom w:type="dxa" w:w="50"/>
              <w:right w:type="dxa" w:w="90"/>
            </w:tcMar>
            <w:vAlign w:val="center"/>
          </w:tcPr>
          <w:p>
            <w:pPr>
              <w:spacing w:after="20"/>
              <w:jc w:val="left"/>
            </w:pPr>
            <w:r>
              <w:rPr>
                <w:color w:val="1F3050"/>
                <w:sz w:val="17"/>
                <w:szCs w:val="17"/>
              </w:rPr>
              <w:t xml:space="preserve">Troncature à T16 ; jamais de bâclage.</w:t>
            </w:r>
          </w:p>
        </w:tc>
      </w:tr>
    </w:tbl>
    <w:p>
      <w:pPr>
        <w:spacing w:after="160"/>
      </w:pPr>
    </w:p>
    <w:p>
      <w:pPr>
        <w:pStyle w:val="Heading2"/>
        <w:spacing w:after="130" w:before="260"/>
      </w:pPr>
      <w:r>
        <w:t xml:space="preserve">8.6 Aveuglement et intégrité</w:t>
      </w:r>
    </w:p>
    <w:p>
      <w:pPr>
        <w:pStyle w:val="ListParagraph"/>
        <w:numPr>
          <w:ilvl w:val="0"/>
          <w:numId w:val="3"/>
        </w:numPr>
        <w:spacing w:after="60" w:line="264"/>
        <w:jc w:val="both"/>
      </w:pPr>
      <w:r>
        <w:t xml:space="preserve">Les consultants n'accèdent qu'à la page questionnaire (règle de protocole ; pas de verrou technique, limite documentée HC7).</w:t>
      </w:r>
    </w:p>
    <w:p>
      <w:pPr>
        <w:pStyle w:val="ListParagraph"/>
        <w:numPr>
          <w:ilvl w:val="0"/>
          <w:numId w:val="3"/>
        </w:numPr>
        <w:spacing w:after="60" w:line="264"/>
        <w:jc w:val="both"/>
      </w:pPr>
      <w:r>
        <w:t xml:space="preserve">Pack de données gelé avant T1 (HASHES.sha256) ; toute régénération en cours de campagne invaliderait l'expérimentation.</w:t>
      </w:r>
    </w:p>
    <w:p>
      <w:pPr>
        <w:pStyle w:val="ListParagraph"/>
        <w:numPr>
          <w:ilvl w:val="0"/>
          <w:numId w:val="3"/>
        </w:numPr>
        <w:spacing w:after="60" w:line="264"/>
        <w:jc w:val="both"/>
      </w:pPr>
      <w:r>
        <w:t xml:space="preserve">Fiches placebo remises par la doctorante aux consultants concernés SANS mention de leur nature, consigné dans le journal. Au débrief, l'écart de leur Ud à ces tours est le contrôle HC4.</w:t>
      </w:r>
    </w:p>
    <w:p>
      <w:pPr>
        <w:pStyle w:val="ListParagraph"/>
        <w:numPr>
          <w:ilvl w:val="0"/>
          <w:numId w:val="3"/>
        </w:numPr>
        <w:spacing w:after="60" w:line="264"/>
        <w:jc w:val="both"/>
      </w:pPr>
      <w:r>
        <w:t xml:space="preserve">Tout écart au protocole (absence, retard, question d'un consultant qui révèle une information) est consigné dans JOURNAL.md le jour même.</w:t>
      </w:r>
    </w:p>
    <w:p>
      <w:pPr>
        <w:pStyle w:val="Heading2"/>
        <w:spacing w:after="130" w:before="260"/>
      </w:pPr>
      <w:r>
        <w:t xml:space="preserve">8.7 Affectation des rôles</w:t>
      </w:r>
    </w:p>
    <w:p>
      <w:pPr>
        <w:spacing w:after="120" w:line="276"/>
        <w:jc w:val="both"/>
      </w:pPr>
      <w:r>
        <w:t xml:space="preserve">Huit identifiants d'opérateur (C1 à C8) sont affectés aux huit nœuds (table en section 5.2 ; noms à compléter au kickoff). Une règle d'affectation est posée : ne pas donner NovaFab ni CompoDis (les rôles les plus chargés en information) aux consultants les plus expérimentés en supply chain, et répartir l'expérience entre les rangs, pour ne pas confondre effet de rôle et effet d'expertise. La décision d'affectation est consignée au journal avant T0.</w:t>
      </w:r>
    </w:p>
    <w:p>
      <w:pPr>
        <w:pStyle w:val="Heading1"/>
        <w:pageBreakBefore/>
        <w:spacing w:after="180" w:before="240"/>
      </w:pPr>
      <w:r>
        <w:t xml:space="preserve">9. Dry run v1 à v5 : calibration et décisions méthodologiques</w:t>
      </w:r>
    </w:p>
    <w:p>
      <w:pPr>
        <w:pStyle w:val="Heading2"/>
        <w:spacing w:after="130" w:before="260"/>
      </w:pPr>
      <w:r>
        <w:t xml:space="preserve">9.1 Rôle du dry run</w:t>
      </w:r>
    </w:p>
    <w:p>
      <w:pPr>
        <w:spacing w:after="120" w:line="276"/>
        <w:jc w:val="both"/>
      </w:pPr>
      <w:r>
        <w:t xml:space="preserve">Cinq itérations complètes (v1 à v5) ont été jouées sur une base jetable avant le gel du protocole. Leur objet n'est pas de tester les hypothèses (le Ud y est synthétique) mais de calibrer le scénario, de débusquer les artefacts mécaniques du moteur et de valider la logistique du tour double quotidien. La version v5 a été validée au jour J4 et conditionne le GO/NO-GO. Chaque constat est documenté dans les commentaires de scenario.py, à l'endroit précis du paramètre concerné.</w:t>
      </w:r>
    </w:p>
    <w:p>
      <w:pPr>
        <w:pStyle w:val="Heading2"/>
        <w:spacing w:after="130" w:before="260"/>
      </w:pPr>
      <w:r>
        <w:t xml:space="preserve">9.2 Les répondants synthétiques</w:t>
      </w:r>
    </w:p>
    <w:p>
      <w:pPr>
        <w:spacing w:after="120" w:line="276"/>
        <w:jc w:val="both"/>
      </w:pPr>
      <w:r>
        <w:t xml:space="preserve">En dry run, l'option --dry-run-ahp soumet huit évaluations par tour selon trois profils : paniqueur (biais +2 sur l'échelle locale [1, 9] : CompoDis et Orbitalys), sous-déclarant (biais −2 : NovaFab et SilPure) et neutre (AvioSys, Électis, TransGlobal, Meridian). Le score nominal de chaque critère est ancré sur l'urgence réelle LOCALE du nœud (nominal = 1 + 8 × Ur_local), et non sur l'urgence propagée, qui rendrait le Ud synthétique circulairement saturé. Les comparaisons de critères sont neutres (matrice unitaire, CR = 0) et un bruit uniforme de ±0.5 est ajouté, de façon déterministe par couple (nœud, tour) pour la reproductibilité. Ces profils servent aussi de baseline comparative pour l'analyse U10 de la campagne réelle.</w:t>
      </w:r>
    </w:p>
    <w:p>
      <w:pPr>
        <w:pStyle w:val="Heading2"/>
        <w:spacing w:after="130" w:before="260"/>
      </w:pPr>
      <w:r>
        <w:t xml:space="preserve">9.3 Les huit décisions actées au dry run</w:t>
      </w:r>
    </w:p>
    <w:p>
      <w:pPr>
        <w:spacing w:after="120" w:line="276"/>
        <w:jc w:val="both"/>
      </w:pPr>
      <w:r>
        <w:t xml:space="preserve">Ces décisions, toutes documentées avant gel, doivent être connues pour lire l'analyse :</w:t>
      </w:r>
    </w:p>
    <w:p>
      <w:pPr>
        <w:pStyle w:val="ListParagraph"/>
        <w:numPr>
          <w:ilvl w:val="0"/>
          <w:numId w:val="5"/>
        </w:numPr>
        <w:spacing w:after="60" w:line="264"/>
        <w:jc w:val="both"/>
      </w:pPr>
      <w:r>
        <w:rPr>
          <w:b/>
          <w:bCs/>
        </w:rPr>
        <w:t xml:space="preserve">Rebasage des risques pays. </w:t>
      </w:r>
      <w:r>
        <w:t xml:space="preserve">env_exposure et political_risk sont des aléas mensuels dans [0, 0.10], rebasés depuis WorldRiskIndex et WGI : les indices bruts (0.3 à 0.5) satureraient le OU probabiliste du bloc risque.</w:t>
      </w:r>
    </w:p>
    <w:p>
      <w:pPr>
        <w:pStyle w:val="ListParagraph"/>
        <w:numPr>
          <w:ilvl w:val="0"/>
          <w:numId w:val="5"/>
        </w:numPr>
        <w:spacing w:after="60" w:line="264"/>
        <w:jc w:val="both"/>
      </w:pPr>
      <w:r>
        <w:rPr>
          <w:b/>
          <w:bCs/>
        </w:rPr>
        <w:t xml:space="preserve">Toujours un jalon actif. </w:t>
      </w:r>
      <w:r>
        <w:t xml:space="preserve">Chaque nœud garde un jalon ACTIVE jusqu'au bout, sinon le modèle le passe DONE et son Ur local tombe à zéro (comportement documenté du moteur).</w:t>
      </w:r>
    </w:p>
    <w:p>
      <w:pPr>
        <w:pStyle w:val="ListParagraph"/>
        <w:numPr>
          <w:ilvl w:val="0"/>
          <w:numId w:val="5"/>
        </w:numPr>
        <w:spacing w:after="60" w:line="264"/>
        <w:jc w:val="both"/>
      </w:pPr>
      <w:r>
        <w:rPr>
          <w:b/>
          <w:bCs/>
        </w:rPr>
        <w:t xml:space="preserve">Re-planification officielle. </w:t>
      </w:r>
      <w:r>
        <w:t xml:space="preserve">Les jalons en dérive sont re-planifiés en revue de programme, comme dans la réalité ; sinon un jalon dépassé épingle u_time à 1.0 en permanence.</w:t>
      </w:r>
    </w:p>
    <w:p>
      <w:pPr>
        <w:pStyle w:val="ListParagraph"/>
        <w:numPr>
          <w:ilvl w:val="0"/>
          <w:numId w:val="5"/>
        </w:numPr>
        <w:spacing w:after="60" w:line="264"/>
        <w:jc w:val="both"/>
      </w:pPr>
      <w:r>
        <w:rPr>
          <w:b/>
          <w:bCs/>
        </w:rPr>
        <w:t xml:space="preserve">Couverture en capacité d'alimentation. </w:t>
      </w:r>
      <w:r>
        <w:t xml:space="preserve">La couverture de stock d'AvioSys passe par le couple flux/demande : la sémantique volume du modèle mesure la saturation d'entrepôt (remaining = max − current), pas la couverture ; un stock qui fond aurait paradoxalement fait baisser l'urgence capacitaire.</w:t>
      </w:r>
    </w:p>
    <w:p>
      <w:pPr>
        <w:pStyle w:val="ListParagraph"/>
        <w:numPr>
          <w:ilvl w:val="0"/>
          <w:numId w:val="5"/>
        </w:numPr>
        <w:spacing w:after="60" w:line="264"/>
        <w:jc w:val="both"/>
      </w:pPr>
      <w:r>
        <w:rPr>
          <w:b/>
          <w:bCs/>
        </w:rPr>
        <w:t xml:space="preserve">Le bon porteur du délai. </w:t>
      </w:r>
      <w:r>
        <w:t xml:space="preserve">Les délais clients (12 vers 25 semaines) sont portés par CompoDis qui les subit ; NovaFab porte son cycle de production propre (stable) : un fondeur n'est pas « en retard » sur ses propres jalons parce que ses clients attendent longtemps (constaté v2).</w:t>
      </w:r>
    </w:p>
    <w:p>
      <w:pPr>
        <w:pStyle w:val="ListParagraph"/>
        <w:numPr>
          <w:ilvl w:val="0"/>
          <w:numId w:val="5"/>
        </w:numPr>
        <w:spacing w:after="60" w:line="264"/>
        <w:jc w:val="both"/>
      </w:pPr>
      <w:r>
        <w:rPr>
          <w:b/>
          <w:bCs/>
        </w:rPr>
        <w:t xml:space="preserve">Érosion pilotée. </w:t>
      </w:r>
      <w:r>
        <w:t xml:space="preserve">L'érosion hebdomadaire des événements (apply_weekly_decay) est déclenchée par le facilitateur à chaque tour, matérialisant la semaine écoulée.</w:t>
      </w:r>
    </w:p>
    <w:p>
      <w:pPr>
        <w:pStyle w:val="ListParagraph"/>
        <w:numPr>
          <w:ilvl w:val="0"/>
          <w:numId w:val="5"/>
        </w:numPr>
        <w:spacing w:after="60" w:line="264"/>
        <w:jc w:val="both"/>
      </w:pPr>
      <w:r>
        <w:rPr>
          <w:b/>
          <w:bCs/>
        </w:rPr>
        <w:t xml:space="preserve">Dégénérescence de la criticité en réseau saturé (pour HA3). </w:t>
      </w:r>
      <w:r>
        <w:t xml:space="preserve">Quand le réseau est saturé, delta_ur_final s'écrase à zéro pour tout le monde (le risque déjà réalisé n'est plus « choquable », comportement documenté du service) et delta_ur_max mesure alors « qui est calme », signal inversé constaté en v5. Décision prise AVANT gel : les tours saturés sont exclus du test HA3 et la comparaison se fait entre fournisseurs profonds (rang ≥ 4) uniquement, car comparer NovaFab à CompoDis mesurerait la proximité topologique du rang 0, pas la criticité intrinsèque. Constat versé au BST.</w:t>
      </w:r>
    </w:p>
    <w:p>
      <w:pPr>
        <w:pStyle w:val="ListParagraph"/>
        <w:numPr>
          <w:ilvl w:val="0"/>
          <w:numId w:val="5"/>
        </w:numPr>
        <w:spacing w:after="60" w:line="264"/>
        <w:jc w:val="both"/>
      </w:pPr>
      <w:r>
        <w:rPr>
          <w:b/>
          <w:bCs/>
        </w:rPr>
        <w:t xml:space="preserve">Décrue P5 faible, et c'est honnête. </w:t>
      </w:r>
      <w:r>
        <w:t xml:space="preserve">Le Ur de NovaFab ne décroît que de 0.955 à 0.911 sur la décrue : historiquement fidèle (les facturations mondiales restaient hautes début 2022). HA6 se lira donc surtout sur l'écart de pente Ud contre Ur, pas sur une chute du Ur.</w:t>
      </w:r>
    </w:p>
    <w:p>
      <w:pPr>
        <w:pStyle w:val="Heading2"/>
        <w:spacing w:after="130" w:before="260"/>
      </w:pPr>
      <w:r>
        <w:t xml:space="preserve">9.4 Autres artefacts neutralisés</w:t>
      </w:r>
    </w:p>
    <w:p>
      <w:pPr>
        <w:spacing w:after="120" w:line="276"/>
        <w:jc w:val="both"/>
      </w:pPr>
      <w:r>
        <w:t xml:space="preserve">Deux corrections fines complètent la liste : le calage des échéanciers de jalons pour que les pics mécaniques de fin de fenêtre (P(L &gt; marge) qui tend vers 1 quand le lead time approche la fenêtre restante) tombent dans les phases de crise réelles et non dans la baseline ou la décrue (v2, v3) ; et le décalage de la deadline SilPure de la semaine 14 à la semaine 15 pour éviter l'artefact d'égalité flottante qui aurait pollué HA5 à T13 (v4).</w:t>
      </w:r>
    </w:p>
    <w:p>
      <w:pPr>
        <w:pStyle w:val="Heading1"/>
        <w:pageBreakBefore/>
        <w:spacing w:after="180" w:before="240"/>
      </w:pPr>
      <w:r>
        <w:t xml:space="preserve">10. Rejeu grandeur nature : exécution et résultats mécaniques</w:t>
      </w:r>
    </w:p>
    <w:p>
      <w:pPr>
        <w:pStyle w:val="Heading2"/>
        <w:spacing w:after="130" w:before="260"/>
      </w:pPr>
      <w:r>
        <w:t xml:space="preserve">10.1 Ce que ce rejeu est, et ce qu'il n'est pas</w:t>
      </w:r>
    </w:p>
    <w:tbl>
      <w:tblPr>
        <w:tblW w:type="dxa" w:w="9026"/>
        <w:tblBorders>
          <w:top w:val="single" w:color="C8862A" w:sz="8"/>
          <w:left w:val="single" w:color="C8862A" w:sz="8"/>
          <w:bottom w:val="single" w:color="C8862A" w:sz="8"/>
          <w:right w:val="single" w:color="C8862A" w:sz="8"/>
          <w:insideH w:val="none" w:color="FFFFFF" w:sz="0"/>
          <w:insideV w:val="none" w:color="FFFFFF" w:sz="0"/>
        </w:tblBorders>
      </w:tblPr>
      <w:tblGrid>
        <w:gridCol w:w="9026"/>
      </w:tblGrid>
      <w:tr>
        <w:tc>
          <w:tcPr>
            <w:tcW w:type="dxa" w:w="9026"/>
            <w:shd w:fill="FBF3E4" w:val="clear"/>
            <w:tcMar>
              <w:top w:type="dxa" w:w="120"/>
              <w:left w:type="dxa" w:w="160"/>
              <w:bottom w:type="dxa" w:w="60"/>
              <w:right w:type="dxa" w:w="160"/>
            </w:tcMar>
          </w:tcPr>
          <w:p>
            <w:pPr>
              <w:spacing w:after="120" w:line="276"/>
              <w:jc w:val="both"/>
            </w:pPr>
            <w:r>
              <w:rPr>
                <w:b/>
                <w:bCs/>
                <w:color w:val="C8862A"/>
              </w:rPr>
              <w:t xml:space="preserve">Lecture indispensable. </w:t>
            </w:r>
            <w:r>
              <w:t xml:space="preserve">Le rejeu grandeur nature exécuté à ce stade est le dry run v5 : les 19 tours (T0 à T18) joués de bout en bout avec les données réelles côté Ur, mais avec des répondants SYNTHÉTIQUES côté Ud. Il valide la mécanique complète de la campagne (injection, érosion, jalons, événements, propagation, criticité, snapshots, sauvegardes, analyse) et la plausibilité du scénario. Il ne valide AUCUNE hypothèse cognitive : sur un Ud synthétique, HA1, HA5 et HA6 ne sont pas interprétables (le générateur n'a ni latence, ni contagion, ni hystérésis), et HA2 comme HA4 sont mécaniquement contraints par la construction du Ud synthétique, ancré sur le Ur local. Les verdicts ci-dessous sont donc des résultats d'ingénierie, pas des résultats scientifiques ; ils sont reproduits parce qu'ils ont éprouvé la chaîne d'analyse et calibré les attentes.</w:t>
            </w:r>
          </w:p>
        </w:tc>
      </w:tr>
    </w:tbl>
    <w:p>
      <w:pPr>
        <w:spacing w:after="160"/>
      </w:pPr>
    </w:p>
    <w:p>
      <w:pPr>
        <w:spacing w:after="120" w:line="276"/>
        <w:jc w:val="both"/>
      </w:pPr>
      <w:r>
        <w:t xml:space="preserve">Volumétrie du rejeu : 19 snapshots (tour_00.json à tour_18.json), 8 nœuds, 152 observations (nœud, tour) dans resultats.csv, chacune portant Ud, Ur, Ud local, Ur local, adéquation, fausse urgence et risque caché ; classement de criticité complet à chaque tour ; une archive de base par clôture.</w:t>
      </w:r>
    </w:p>
    <w:p>
      <w:pPr>
        <w:pStyle w:val="Heading2"/>
        <w:spacing w:after="130" w:before="260"/>
      </w:pPr>
      <w:r>
        <w:t xml:space="preserve">10.2 Dynamique du réseau : la crise se propage comme attendu</w:t>
      </w:r>
    </w:p>
    <w:p>
      <w:pPr>
        <w:spacing w:after="40" w:before="120"/>
        <w:jc w:val="center"/>
      </w:pPr>
      <w:r>
        <w:drawing>
          <wp:inline distT="0" distB="0" distL="0" distR="0">
            <wp:extent cx="5715000"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524625"/>
                    </a:xfrm>
                    <a:prstGeom prst="rect">
                      <a:avLst/>
                    </a:prstGeom>
                  </pic:spPr>
                </pic:pic>
              </a:graphicData>
            </a:graphic>
          </wp:inline>
        </w:drawing>
      </w:r>
    </w:p>
    <w:p>
      <w:pPr>
        <w:spacing w:after="200" w:before="60"/>
        <w:jc w:val="center"/>
      </w:pPr>
      <w:r>
        <w:rPr>
          <w:i/>
          <w:iCs/>
          <w:color w:val="8C97A6"/>
          <w:sz w:val="18"/>
          <w:szCs w:val="18"/>
        </w:rPr>
        <w:t xml:space="preserve">Figure 2. Urgences réelle (trait plein) et déclarée synthétique (pointillés) par nœud sur les 19 tours. Bandes claires : phases P1, P3 et P5.</w:t>
      </w:r>
    </w:p>
    <w:p>
      <w:pPr>
        <w:spacing w:after="120" w:line="276"/>
        <w:jc w:val="both"/>
      </w:pPr>
      <w:r>
        <w:t xml:space="preserve">La lecture par phase confirme que le scénario produit la dynamique voulue. En P1, le réseau respire (Ur médian bas, Orbitalys porté par ses jalons). La bascule P2 est nette : NovaFab passe de 0.36 (T4) à 0.62 (T6, gel Texas) puis sature à 1.0 à T8, pendant que TransGlobal saute de 0.08 à 1.0 à T7 (Suez) et que CompoDis sature dès T6 par propagation amont. En P3, l'étau se referme (huit nœuds au-dessus de 0.9 hors amont profond). En P4, le bullwhip maintient la saturation générale. En P5, la décrue est lente et partielle, fidèle à l'histoire : NovaFab redescend à peine (0.92), SilPure reste modéré de bout en bout (0.11 à 0.30), et Meridian, frappé tardivement par la vague de demande mondiale (WSTS), sature à T18.</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750"/>
        <w:gridCol w:w="909"/>
        <w:gridCol w:w="909"/>
        <w:gridCol w:w="909"/>
        <w:gridCol w:w="909"/>
        <w:gridCol w:w="909"/>
        <w:gridCol w:w="909"/>
        <w:gridCol w:w="909"/>
        <w:gridCol w:w="913"/>
      </w:tblGrid>
      <w:tr>
        <w:trPr>
          <w:tblHeader/>
        </w:trPr>
        <w:tc>
          <w:tcPr>
            <w:tcW w:type="dxa" w:w="1750"/>
            <w:shd w:fill="0072BC" w:val="clear"/>
            <w:tcMar>
              <w:top w:type="dxa" w:w="50"/>
              <w:left w:type="dxa" w:w="90"/>
              <w:bottom w:type="dxa" w:w="50"/>
              <w:right w:type="dxa" w:w="90"/>
            </w:tcMar>
            <w:vAlign w:val="center"/>
          </w:tcPr>
          <w:p>
            <w:pPr>
              <w:spacing w:after="20"/>
              <w:jc w:val="left"/>
            </w:pPr>
            <w:r>
              <w:rPr>
                <w:b/>
                <w:bCs/>
                <w:color w:val="FFFFFF"/>
                <w:sz w:val="17"/>
                <w:szCs w:val="17"/>
              </w:rPr>
              <w:t xml:space="preserve">Ur propagé</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T0</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T4</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T6</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T8</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T10</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T13</w:t>
            </w:r>
          </w:p>
        </w:tc>
        <w:tc>
          <w:tcPr>
            <w:tcW w:type="dxa" w:w="909"/>
            <w:shd w:fill="0072BC" w:val="clear"/>
            <w:tcMar>
              <w:top w:type="dxa" w:w="50"/>
              <w:left w:type="dxa" w:w="90"/>
              <w:bottom w:type="dxa" w:w="50"/>
              <w:right w:type="dxa" w:w="90"/>
            </w:tcMar>
            <w:vAlign w:val="center"/>
          </w:tcPr>
          <w:p>
            <w:pPr>
              <w:spacing w:after="20"/>
              <w:jc w:val="left"/>
            </w:pPr>
            <w:r>
              <w:rPr>
                <w:b/>
                <w:bCs/>
                <w:color w:val="FFFFFF"/>
                <w:sz w:val="17"/>
                <w:szCs w:val="17"/>
              </w:rPr>
              <w:t xml:space="preserve">T16</w:t>
            </w:r>
          </w:p>
        </w:tc>
        <w:tc>
          <w:tcPr>
            <w:tcW w:type="dxa" w:w="913"/>
            <w:shd w:fill="0072BC" w:val="clear"/>
            <w:tcMar>
              <w:top w:type="dxa" w:w="50"/>
              <w:left w:type="dxa" w:w="90"/>
              <w:bottom w:type="dxa" w:w="50"/>
              <w:right w:type="dxa" w:w="90"/>
            </w:tcMar>
            <w:vAlign w:val="center"/>
          </w:tcPr>
          <w:p>
            <w:pPr>
              <w:spacing w:after="20"/>
              <w:jc w:val="left"/>
            </w:pPr>
            <w:r>
              <w:rPr>
                <w:b/>
                <w:bCs/>
                <w:color w:val="FFFFFF"/>
                <w:sz w:val="17"/>
                <w:szCs w:val="17"/>
              </w:rPr>
              <w:t xml:space="preserve">T18</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Orbitalys</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0.43</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0.76</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0.54</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0.79</w:t>
            </w:r>
          </w:p>
        </w:tc>
        <w:tc>
          <w:tcPr>
            <w:tcW w:type="dxa" w:w="913"/>
            <w:tcMar>
              <w:top w:type="dxa" w:w="50"/>
              <w:left w:type="dxa" w:w="90"/>
              <w:bottom w:type="dxa" w:w="50"/>
              <w:right w:type="dxa" w:w="90"/>
            </w:tcMar>
            <w:vAlign w:val="center"/>
          </w:tcPr>
          <w:p>
            <w:pPr>
              <w:spacing w:after="20"/>
              <w:jc w:val="left"/>
            </w:pPr>
            <w:r>
              <w:rPr>
                <w:color w:val="1F3050"/>
                <w:sz w:val="17"/>
                <w:szCs w:val="17"/>
              </w:rPr>
              <w:t xml:space="preserve">1.00</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AvioSys</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0.51</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0.94</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0.66</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0.69</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0.87</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0.98</w:t>
            </w:r>
          </w:p>
        </w:tc>
        <w:tc>
          <w:tcPr>
            <w:tcW w:type="dxa" w:w="913"/>
            <w:shd w:fill="EDF3F9" w:val="clear"/>
            <w:tcMar>
              <w:top w:type="dxa" w:w="50"/>
              <w:left w:type="dxa" w:w="90"/>
              <w:bottom w:type="dxa" w:w="50"/>
              <w:right w:type="dxa" w:w="90"/>
            </w:tcMar>
            <w:vAlign w:val="center"/>
          </w:tcPr>
          <w:p>
            <w:pPr>
              <w:spacing w:after="20"/>
              <w:jc w:val="left"/>
            </w:pPr>
            <w:r>
              <w:rPr>
                <w:color w:val="1F3050"/>
                <w:sz w:val="17"/>
                <w:szCs w:val="17"/>
              </w:rPr>
              <w:t xml:space="preserve">0.70</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Électis</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0.64</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0.71</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0.89</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0.93</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0.90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0.96</w:t>
            </w:r>
          </w:p>
        </w:tc>
        <w:tc>
          <w:tcPr>
            <w:tcW w:type="dxa" w:w="913"/>
            <w:tcMar>
              <w:top w:type="dxa" w:w="50"/>
              <w:left w:type="dxa" w:w="90"/>
              <w:bottom w:type="dxa" w:w="50"/>
              <w:right w:type="dxa" w:w="90"/>
            </w:tcMar>
            <w:vAlign w:val="center"/>
          </w:tcPr>
          <w:p>
            <w:pPr>
              <w:spacing w:after="20"/>
              <w:jc w:val="left"/>
            </w:pPr>
            <w:r>
              <w:rPr>
                <w:color w:val="1F3050"/>
                <w:sz w:val="17"/>
                <w:szCs w:val="17"/>
              </w:rPr>
              <w:t xml:space="preserve">0.97</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CompoDis</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0.41</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0.64</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0.92</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0.87</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13"/>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TransGlobal</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0.08</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0.08</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0.08</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13"/>
            <w:tcMar>
              <w:top w:type="dxa" w:w="50"/>
              <w:left w:type="dxa" w:w="90"/>
              <w:bottom w:type="dxa" w:w="50"/>
              <w:right w:type="dxa" w:w="90"/>
            </w:tcMar>
            <w:vAlign w:val="center"/>
          </w:tcPr>
          <w:p>
            <w:pPr>
              <w:spacing w:after="20"/>
              <w:jc w:val="left"/>
            </w:pPr>
            <w:r>
              <w:rPr>
                <w:color w:val="1F3050"/>
                <w:sz w:val="17"/>
                <w:szCs w:val="17"/>
              </w:rPr>
              <w:t xml:space="preserve">1.00</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NovaFab</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0.29</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0.36</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0.62</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1.00</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0.92</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0.92</w:t>
            </w:r>
          </w:p>
        </w:tc>
        <w:tc>
          <w:tcPr>
            <w:tcW w:type="dxa" w:w="913"/>
            <w:shd w:fill="EDF3F9" w:val="clear"/>
            <w:tcMar>
              <w:top w:type="dxa" w:w="50"/>
              <w:left w:type="dxa" w:w="90"/>
              <w:bottom w:type="dxa" w:w="50"/>
              <w:right w:type="dxa" w:w="90"/>
            </w:tcMar>
            <w:vAlign w:val="center"/>
          </w:tcPr>
          <w:p>
            <w:pPr>
              <w:spacing w:after="20"/>
              <w:jc w:val="left"/>
            </w:pPr>
            <w:r>
              <w:rPr>
                <w:color w:val="1F3050"/>
                <w:sz w:val="17"/>
                <w:szCs w:val="17"/>
              </w:rPr>
              <w:t xml:space="preserve">0.92</w:t>
            </w:r>
          </w:p>
        </w:tc>
      </w:tr>
      <w:tr>
        <w:tc>
          <w:tcPr>
            <w:tcW w:type="dxa" w:w="1750"/>
            <w:tcMar>
              <w:top w:type="dxa" w:w="50"/>
              <w:left w:type="dxa" w:w="90"/>
              <w:bottom w:type="dxa" w:w="50"/>
              <w:right w:type="dxa" w:w="90"/>
            </w:tcMar>
            <w:vAlign w:val="center"/>
          </w:tcPr>
          <w:p>
            <w:pPr>
              <w:spacing w:after="20"/>
              <w:jc w:val="left"/>
            </w:pPr>
            <w:r>
              <w:rPr>
                <w:color w:val="1F3050"/>
                <w:sz w:val="17"/>
                <w:szCs w:val="17"/>
              </w:rPr>
              <w:t xml:space="preserve">Meridian</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0.04</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0.13</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0.11</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0.19</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0.27</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0.32</w:t>
            </w:r>
          </w:p>
        </w:tc>
        <w:tc>
          <w:tcPr>
            <w:tcW w:type="dxa" w:w="909"/>
            <w:tcMar>
              <w:top w:type="dxa" w:w="50"/>
              <w:left w:type="dxa" w:w="90"/>
              <w:bottom w:type="dxa" w:w="50"/>
              <w:right w:type="dxa" w:w="90"/>
            </w:tcMar>
            <w:vAlign w:val="center"/>
          </w:tcPr>
          <w:p>
            <w:pPr>
              <w:spacing w:after="20"/>
              <w:jc w:val="left"/>
            </w:pPr>
            <w:r>
              <w:rPr>
                <w:color w:val="1F3050"/>
                <w:sz w:val="17"/>
                <w:szCs w:val="17"/>
              </w:rPr>
              <w:t xml:space="preserve">0.39</w:t>
            </w:r>
          </w:p>
        </w:tc>
        <w:tc>
          <w:tcPr>
            <w:tcW w:type="dxa" w:w="913"/>
            <w:tcMar>
              <w:top w:type="dxa" w:w="50"/>
              <w:left w:type="dxa" w:w="90"/>
              <w:bottom w:type="dxa" w:w="50"/>
              <w:right w:type="dxa" w:w="90"/>
            </w:tcMar>
            <w:vAlign w:val="center"/>
          </w:tcPr>
          <w:p>
            <w:pPr>
              <w:spacing w:after="20"/>
              <w:jc w:val="left"/>
            </w:pPr>
            <w:r>
              <w:rPr>
                <w:color w:val="1F3050"/>
                <w:sz w:val="17"/>
                <w:szCs w:val="17"/>
              </w:rPr>
              <w:t xml:space="preserve">1.00</w:t>
            </w:r>
          </w:p>
        </w:tc>
      </w:tr>
      <w:tr>
        <w:tc>
          <w:tcPr>
            <w:tcW w:type="dxa" w:w="1750"/>
            <w:shd w:fill="EDF3F9" w:val="clear"/>
            <w:tcMar>
              <w:top w:type="dxa" w:w="50"/>
              <w:left w:type="dxa" w:w="90"/>
              <w:bottom w:type="dxa" w:w="50"/>
              <w:right w:type="dxa" w:w="90"/>
            </w:tcMar>
            <w:vAlign w:val="center"/>
          </w:tcPr>
          <w:p>
            <w:pPr>
              <w:spacing w:after="20"/>
              <w:jc w:val="left"/>
            </w:pPr>
            <w:r>
              <w:rPr>
                <w:color w:val="1F3050"/>
                <w:sz w:val="17"/>
                <w:szCs w:val="17"/>
              </w:rPr>
              <w:t xml:space="preserve">SilPure</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0.11</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0.12</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0.14</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0.15</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0.17</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0.21</w:t>
            </w:r>
          </w:p>
        </w:tc>
        <w:tc>
          <w:tcPr>
            <w:tcW w:type="dxa" w:w="909"/>
            <w:shd w:fill="EDF3F9" w:val="clear"/>
            <w:tcMar>
              <w:top w:type="dxa" w:w="50"/>
              <w:left w:type="dxa" w:w="90"/>
              <w:bottom w:type="dxa" w:w="50"/>
              <w:right w:type="dxa" w:w="90"/>
            </w:tcMar>
            <w:vAlign w:val="center"/>
          </w:tcPr>
          <w:p>
            <w:pPr>
              <w:spacing w:after="20"/>
              <w:jc w:val="left"/>
            </w:pPr>
            <w:r>
              <w:rPr>
                <w:color w:val="1F3050"/>
                <w:sz w:val="17"/>
                <w:szCs w:val="17"/>
              </w:rPr>
              <w:t xml:space="preserve">0.27</w:t>
            </w:r>
          </w:p>
        </w:tc>
        <w:tc>
          <w:tcPr>
            <w:tcW w:type="dxa" w:w="913"/>
            <w:shd w:fill="EDF3F9" w:val="clear"/>
            <w:tcMar>
              <w:top w:type="dxa" w:w="50"/>
              <w:left w:type="dxa" w:w="90"/>
              <w:bottom w:type="dxa" w:w="50"/>
              <w:right w:type="dxa" w:w="90"/>
            </w:tcMar>
            <w:vAlign w:val="center"/>
          </w:tcPr>
          <w:p>
            <w:pPr>
              <w:spacing w:after="20"/>
              <w:jc w:val="left"/>
            </w:pPr>
            <w:r>
              <w:rPr>
                <w:color w:val="1F3050"/>
                <w:sz w:val="17"/>
                <w:szCs w:val="17"/>
              </w:rPr>
              <w:t xml:space="preserve">0.30</w:t>
            </w:r>
          </w:p>
        </w:tc>
      </w:tr>
    </w:tbl>
    <w:p>
      <w:pPr>
        <w:spacing w:after="160"/>
      </w:pPr>
    </w:p>
    <w:p>
      <w:pPr>
        <w:spacing w:after="40" w:before="1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85975"/>
                    </a:xfrm>
                    <a:prstGeom prst="rect">
                      <a:avLst/>
                    </a:prstGeom>
                  </pic:spPr>
                </pic:pic>
              </a:graphicData>
            </a:graphic>
          </wp:inline>
        </w:drawing>
      </w:r>
    </w:p>
    <w:p>
      <w:pPr>
        <w:spacing w:after="200" w:before="60"/>
        <w:jc w:val="center"/>
      </w:pPr>
      <w:r>
        <w:rPr>
          <w:i/>
          <w:iCs/>
          <w:color w:val="8C97A6"/>
          <w:sz w:val="18"/>
          <w:szCs w:val="18"/>
        </w:rPr>
        <w:t xml:space="preserve">Figure 3. Adéquation moyenne du réseau par tour. Les creux (T4-T5, T7) correspondent aux bascules où le Ur bouge plus vite que le Ud synthétique ; la remontée de P3 et l'érosion de P4-P5 sont des artefacts du générateur synthétique commentés en 10.4.</w:t>
      </w:r>
    </w:p>
    <w:p>
      <w:pPr>
        <w:spacing w:after="40" w:before="12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90775"/>
                    </a:xfrm>
                    <a:prstGeom prst="rect">
                      <a:avLst/>
                    </a:prstGeom>
                  </pic:spPr>
                </pic:pic>
              </a:graphicData>
            </a:graphic>
          </wp:inline>
        </w:drawing>
      </w:r>
    </w:p>
    <w:p>
      <w:pPr>
        <w:spacing w:after="200" w:before="60"/>
        <w:jc w:val="center"/>
      </w:pPr>
      <w:r>
        <w:rPr>
          <w:i/>
          <w:iCs/>
          <w:color w:val="8C97A6"/>
          <w:sz w:val="18"/>
          <w:szCs w:val="18"/>
        </w:rPr>
        <w:t xml:space="preserve">Figure 4. Risque caché H par nœud et par tour. Les poches ocre foncé (Orbitalys T4-T7 et T13-T18, Électis, AvioSys) marquent les moments où l'urgence réelle propagée dépasse la déclaration synthétique locale.</w:t>
      </w:r>
    </w:p>
    <w:p>
      <w:pPr>
        <w:pStyle w:val="Heading2"/>
        <w:spacing w:after="130" w:before="260"/>
      </w:pPr>
      <w:r>
        <w:t xml:space="preserve">10.3 Verdicts des six tests sur le rejeu synthétique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1050"/>
        <w:gridCol w:w="1650"/>
        <w:gridCol w:w="6326"/>
      </w:tblGrid>
      <w:tr>
        <w:trPr>
          <w:tblHeader/>
        </w:trPr>
        <w:tc>
          <w:tcPr>
            <w:tcW w:type="dxa" w:w="1050"/>
            <w:shd w:fill="0072BC" w:val="clear"/>
            <w:tcMar>
              <w:top w:type="dxa" w:w="50"/>
              <w:left w:type="dxa" w:w="90"/>
              <w:bottom w:type="dxa" w:w="50"/>
              <w:right w:type="dxa" w:w="90"/>
            </w:tcMar>
            <w:vAlign w:val="center"/>
          </w:tcPr>
          <w:p>
            <w:pPr>
              <w:spacing w:after="20"/>
              <w:jc w:val="left"/>
            </w:pPr>
            <w:r>
              <w:rPr>
                <w:b/>
                <w:bCs/>
                <w:color w:val="FFFFFF"/>
                <w:sz w:val="17"/>
                <w:szCs w:val="17"/>
              </w:rPr>
              <w:t xml:space="preserve">Test</w:t>
            </w:r>
          </w:p>
        </w:tc>
        <w:tc>
          <w:tcPr>
            <w:tcW w:type="dxa" w:w="1650"/>
            <w:shd w:fill="0072BC" w:val="clear"/>
            <w:tcMar>
              <w:top w:type="dxa" w:w="50"/>
              <w:left w:type="dxa" w:w="90"/>
              <w:bottom w:type="dxa" w:w="50"/>
              <w:right w:type="dxa" w:w="90"/>
            </w:tcMar>
            <w:vAlign w:val="center"/>
          </w:tcPr>
          <w:p>
            <w:pPr>
              <w:spacing w:after="20"/>
              <w:jc w:val="left"/>
            </w:pPr>
            <w:r>
              <w:rPr>
                <w:b/>
                <w:bCs/>
                <w:color w:val="FFFFFF"/>
                <w:sz w:val="17"/>
                <w:szCs w:val="17"/>
              </w:rPr>
              <w:t xml:space="preserve">Verdict (dry run)</w:t>
            </w:r>
          </w:p>
        </w:tc>
        <w:tc>
          <w:tcPr>
            <w:tcW w:type="dxa" w:w="6326"/>
            <w:shd w:fill="0072BC" w:val="clear"/>
            <w:tcMar>
              <w:top w:type="dxa" w:w="50"/>
              <w:left w:type="dxa" w:w="90"/>
              <w:bottom w:type="dxa" w:w="50"/>
              <w:right w:type="dxa" w:w="90"/>
            </w:tcMar>
            <w:vAlign w:val="center"/>
          </w:tcPr>
          <w:p>
            <w:pPr>
              <w:spacing w:after="20"/>
              <w:jc w:val="left"/>
            </w:pPr>
            <w:r>
              <w:rPr>
                <w:b/>
                <w:bCs/>
                <w:color w:val="FFFFFF"/>
                <w:sz w:val="17"/>
                <w:szCs w:val="17"/>
              </w:rPr>
              <w:t xml:space="preserve">Mesure exacte</w:t>
            </w:r>
          </w:p>
        </w:tc>
      </w:tr>
      <w:tr>
        <w:tc>
          <w:tcPr>
            <w:tcW w:type="dxa" w:w="1050"/>
            <w:tcMar>
              <w:top w:type="dxa" w:w="50"/>
              <w:left w:type="dxa" w:w="90"/>
              <w:bottom w:type="dxa" w:w="50"/>
              <w:right w:type="dxa" w:w="90"/>
            </w:tcMar>
            <w:vAlign w:val="center"/>
          </w:tcPr>
          <w:p>
            <w:pPr>
              <w:spacing w:after="20"/>
              <w:jc w:val="left"/>
            </w:pPr>
            <w:r>
              <w:rPr>
                <w:color w:val="1F3050"/>
                <w:sz w:val="17"/>
                <w:szCs w:val="17"/>
              </w:rPr>
              <w:t xml:space="preserve">HA1 latence</w:t>
            </w:r>
          </w:p>
        </w:tc>
        <w:tc>
          <w:tcPr>
            <w:tcW w:type="dxa" w:w="1650"/>
            <w:tcMar>
              <w:top w:type="dxa" w:w="50"/>
              <w:left w:type="dxa" w:w="90"/>
              <w:bottom w:type="dxa" w:w="50"/>
              <w:right w:type="dxa" w:w="90"/>
            </w:tcMar>
            <w:vAlign w:val="center"/>
          </w:tcPr>
          <w:p>
            <w:pPr>
              <w:spacing w:after="20"/>
              <w:jc w:val="left"/>
            </w:pPr>
            <w:r>
              <w:rPr>
                <w:color w:val="1F3050"/>
                <w:sz w:val="17"/>
                <w:szCs w:val="17"/>
              </w:rPr>
              <w:t xml:space="preserve">NON CONFIRMÉE</w:t>
            </w:r>
          </w:p>
        </w:tc>
        <w:tc>
          <w:tcPr>
            <w:tcW w:type="dxa" w:w="6326"/>
            <w:tcMar>
              <w:top w:type="dxa" w:w="50"/>
              <w:left w:type="dxa" w:w="90"/>
              <w:bottom w:type="dxa" w:w="50"/>
              <w:right w:type="dxa" w:w="90"/>
            </w:tcMar>
            <w:vAlign w:val="center"/>
          </w:tcPr>
          <w:p>
            <w:pPr>
              <w:spacing w:after="20"/>
              <w:jc w:val="left"/>
            </w:pPr>
            <w:r>
              <w:rPr>
                <w:color w:val="1F3050"/>
                <w:sz w:val="17"/>
                <w:szCs w:val="17"/>
              </w:rPr>
              <w:t xml:space="preserve">Lags par nœud : Orbitalys 1, tous les autres 0 ; 1/8 à lag ≥ 1 (seuil : 5/8). Attendu : le générateur synthétique répond au tour même.</w:t>
            </w:r>
          </w:p>
        </w:tc>
      </w:tr>
      <w:tr>
        <w:tc>
          <w:tcPr>
            <w:tcW w:type="dxa" w:w="1050"/>
            <w:shd w:fill="EDF3F9" w:val="clear"/>
            <w:tcMar>
              <w:top w:type="dxa" w:w="50"/>
              <w:left w:type="dxa" w:w="90"/>
              <w:bottom w:type="dxa" w:w="50"/>
              <w:right w:type="dxa" w:w="90"/>
            </w:tcMar>
            <w:vAlign w:val="center"/>
          </w:tcPr>
          <w:p>
            <w:pPr>
              <w:spacing w:after="20"/>
              <w:jc w:val="left"/>
            </w:pPr>
            <w:r>
              <w:rPr>
                <w:color w:val="1F3050"/>
                <w:sz w:val="17"/>
                <w:szCs w:val="17"/>
              </w:rPr>
              <w:t xml:space="preserve">HA2 précocité</w:t>
            </w:r>
          </w:p>
        </w:tc>
        <w:tc>
          <w:tcPr>
            <w:tcW w:type="dxa" w:w="1650"/>
            <w:shd w:fill="EDF3F9" w:val="clear"/>
            <w:tcMar>
              <w:top w:type="dxa" w:w="50"/>
              <w:left w:type="dxa" w:w="90"/>
              <w:bottom w:type="dxa" w:w="50"/>
              <w:right w:type="dxa" w:w="90"/>
            </w:tcMar>
            <w:vAlign w:val="center"/>
          </w:tcPr>
          <w:p>
            <w:pPr>
              <w:spacing w:after="20"/>
              <w:jc w:val="left"/>
            </w:pPr>
            <w:r>
              <w:rPr>
                <w:color w:val="1F3050"/>
                <w:sz w:val="17"/>
                <w:szCs w:val="17"/>
              </w:rPr>
              <w:t xml:space="preserve">NON CONFIRMÉE</w:t>
            </w:r>
          </w:p>
        </w:tc>
        <w:tc>
          <w:tcPr>
            <w:tcW w:type="dxa" w:w="6326"/>
            <w:shd w:fill="EDF3F9" w:val="clear"/>
            <w:tcMar>
              <w:top w:type="dxa" w:w="50"/>
              <w:left w:type="dxa" w:w="90"/>
              <w:bottom w:type="dxa" w:w="50"/>
              <w:right w:type="dxa" w:w="90"/>
            </w:tcMar>
            <w:vAlign w:val="center"/>
          </w:tcPr>
          <w:p>
            <w:pPr>
              <w:spacing w:after="20"/>
              <w:jc w:val="left"/>
            </w:pPr>
            <w:r>
              <w:rPr>
                <w:color w:val="1F3050"/>
                <w:sz w:val="17"/>
                <w:szCs w:val="17"/>
              </w:rPr>
              <w:t xml:space="preserve">H(NovaFab) sur T6-T12 : maximum 0.070 (seuil : 0.3), atteint à T9. Le Ud synthétique ancré sur le Ur local suit la crise de trop près pour laisser un risque caché.</w:t>
            </w:r>
          </w:p>
        </w:tc>
      </w:tr>
      <w:tr>
        <w:tc>
          <w:tcPr>
            <w:tcW w:type="dxa" w:w="1050"/>
            <w:tcMar>
              <w:top w:type="dxa" w:w="50"/>
              <w:left w:type="dxa" w:w="90"/>
              <w:bottom w:type="dxa" w:w="50"/>
              <w:right w:type="dxa" w:w="90"/>
            </w:tcMar>
            <w:vAlign w:val="center"/>
          </w:tcPr>
          <w:p>
            <w:pPr>
              <w:spacing w:after="20"/>
              <w:jc w:val="left"/>
            </w:pPr>
            <w:r>
              <w:rPr>
                <w:color w:val="1F3050"/>
                <w:sz w:val="17"/>
                <w:szCs w:val="17"/>
              </w:rPr>
              <w:t xml:space="preserve">HA3 criticité</w:t>
            </w:r>
          </w:p>
        </w:tc>
        <w:tc>
          <w:tcPr>
            <w:tcW w:type="dxa" w:w="1650"/>
            <w:tcMar>
              <w:top w:type="dxa" w:w="50"/>
              <w:left w:type="dxa" w:w="90"/>
              <w:bottom w:type="dxa" w:w="50"/>
              <w:right w:type="dxa" w:w="90"/>
            </w:tcMar>
            <w:vAlign w:val="center"/>
          </w:tcPr>
          <w:p>
            <w:pPr>
              <w:spacing w:after="20"/>
              <w:jc w:val="left"/>
            </w:pPr>
            <w:r>
              <w:rPr>
                <w:color w:val="1F3050"/>
                <w:sz w:val="17"/>
                <w:szCs w:val="17"/>
              </w:rPr>
              <w:t xml:space="preserve">NON CONFIRMÉE</w:t>
            </w:r>
          </w:p>
        </w:tc>
        <w:tc>
          <w:tcPr>
            <w:tcW w:type="dxa" w:w="6326"/>
            <w:tcMar>
              <w:top w:type="dxa" w:w="50"/>
              <w:left w:type="dxa" w:w="90"/>
              <w:bottom w:type="dxa" w:w="50"/>
              <w:right w:type="dxa" w:w="90"/>
            </w:tcMar>
            <w:vAlign w:val="center"/>
          </w:tcPr>
          <w:p>
            <w:pPr>
              <w:spacing w:after="20"/>
              <w:jc w:val="left"/>
            </w:pPr>
            <w:r>
              <w:rPr>
                <w:color w:val="1F3050"/>
                <w:sz w:val="17"/>
                <w:szCs w:val="17"/>
              </w:rPr>
              <w:t xml:space="preserve">NovaFab top-1 des fournisseurs profonds sur 7 des 10 tours informatifs (70 %, seuil : 80 %) ; leaders : NovaFab T0-T4, T6, T16 ; SilPure T5, T14, T17 ; 9 tours saturés exclus (T7-T13, T15, T18).</w:t>
            </w:r>
          </w:p>
        </w:tc>
      </w:tr>
      <w:tr>
        <w:tc>
          <w:tcPr>
            <w:tcW w:type="dxa" w:w="1050"/>
            <w:shd w:fill="EDF3F9" w:val="clear"/>
            <w:tcMar>
              <w:top w:type="dxa" w:w="50"/>
              <w:left w:type="dxa" w:w="90"/>
              <w:bottom w:type="dxa" w:w="50"/>
              <w:right w:type="dxa" w:w="90"/>
            </w:tcMar>
            <w:vAlign w:val="center"/>
          </w:tcPr>
          <w:p>
            <w:pPr>
              <w:spacing w:after="20"/>
              <w:jc w:val="left"/>
            </w:pPr>
            <w:r>
              <w:rPr>
                <w:color w:val="1F3050"/>
                <w:sz w:val="17"/>
                <w:szCs w:val="17"/>
              </w:rPr>
              <w:t xml:space="preserve">HA4 prédictif</w:t>
            </w:r>
          </w:p>
        </w:tc>
        <w:tc>
          <w:tcPr>
            <w:tcW w:type="dxa" w:w="1650"/>
            <w:shd w:fill="EDF3F9" w:val="clear"/>
            <w:tcMar>
              <w:top w:type="dxa" w:w="50"/>
              <w:left w:type="dxa" w:w="90"/>
              <w:bottom w:type="dxa" w:w="50"/>
              <w:right w:type="dxa" w:w="90"/>
            </w:tcMar>
            <w:vAlign w:val="center"/>
          </w:tcPr>
          <w:p>
            <w:pPr>
              <w:spacing w:after="20"/>
              <w:jc w:val="left"/>
            </w:pPr>
            <w:r>
              <w:rPr>
                <w:color w:val="1F3050"/>
                <w:sz w:val="17"/>
                <w:szCs w:val="17"/>
              </w:rPr>
              <w:t xml:space="preserve">NON CONFIRMÉE</w:t>
            </w:r>
          </w:p>
        </w:tc>
        <w:tc>
          <w:tcPr>
            <w:tcW w:type="dxa" w:w="6326"/>
            <w:shd w:fill="EDF3F9" w:val="clear"/>
            <w:tcMar>
              <w:top w:type="dxa" w:w="50"/>
              <w:left w:type="dxa" w:w="90"/>
              <w:bottom w:type="dxa" w:w="50"/>
              <w:right w:type="dxa" w:w="90"/>
            </w:tcMar>
            <w:vAlign w:val="center"/>
          </w:tcPr>
          <w:p>
            <w:pPr>
              <w:spacing w:after="20"/>
              <w:jc w:val="left"/>
            </w:pPr>
            <w:r>
              <w:rPr>
                <w:color w:val="1F3050"/>
                <w:sz w:val="17"/>
                <w:szCs w:val="17"/>
              </w:rPr>
              <w:t xml:space="preserve">TP=0, FP=5, TN=102, FN=37 ; précision 0.00, rappel 0.00 (seuils : 0.5). H ne dépasse presque jamais 0.5 par construction du Ud synthétique.</w:t>
            </w:r>
          </w:p>
        </w:tc>
      </w:tr>
      <w:tr>
        <w:tc>
          <w:tcPr>
            <w:tcW w:type="dxa" w:w="1050"/>
            <w:tcMar>
              <w:top w:type="dxa" w:w="50"/>
              <w:left w:type="dxa" w:w="90"/>
              <w:bottom w:type="dxa" w:w="50"/>
              <w:right w:type="dxa" w:w="90"/>
            </w:tcMar>
            <w:vAlign w:val="center"/>
          </w:tcPr>
          <w:p>
            <w:pPr>
              <w:spacing w:after="20"/>
              <w:jc w:val="left"/>
            </w:pPr>
            <w:r>
              <w:rPr>
                <w:color w:val="1F3050"/>
                <w:sz w:val="17"/>
                <w:szCs w:val="17"/>
              </w:rPr>
              <w:t xml:space="preserve">HA5 contagion</w:t>
            </w:r>
          </w:p>
        </w:tc>
        <w:tc>
          <w:tcPr>
            <w:tcW w:type="dxa" w:w="1650"/>
            <w:tcMar>
              <w:top w:type="dxa" w:w="50"/>
              <w:left w:type="dxa" w:w="90"/>
              <w:bottom w:type="dxa" w:w="50"/>
              <w:right w:type="dxa" w:w="90"/>
            </w:tcMar>
            <w:vAlign w:val="center"/>
          </w:tcPr>
          <w:p>
            <w:pPr>
              <w:spacing w:after="20"/>
              <w:jc w:val="left"/>
            </w:pPr>
            <w:r>
              <w:rPr>
                <w:color w:val="1F3050"/>
                <w:sz w:val="17"/>
                <w:szCs w:val="17"/>
              </w:rPr>
              <w:t xml:space="preserve">NON CONFIRMÉE</w:t>
            </w:r>
          </w:p>
        </w:tc>
        <w:tc>
          <w:tcPr>
            <w:tcW w:type="dxa" w:w="6326"/>
            <w:tcMar>
              <w:top w:type="dxa" w:w="50"/>
              <w:left w:type="dxa" w:w="90"/>
              <w:bottom w:type="dxa" w:w="50"/>
              <w:right w:type="dxa" w:w="90"/>
            </w:tcMar>
            <w:vAlign w:val="center"/>
          </w:tcPr>
          <w:p>
            <w:pPr>
              <w:spacing w:after="20"/>
              <w:jc w:val="left"/>
            </w:pPr>
            <w:r>
              <w:rPr>
                <w:color w:val="1F3050"/>
                <w:sz w:val="17"/>
                <w:szCs w:val="17"/>
              </w:rPr>
              <w:t xml:space="preserve">ΔUd moyen des nœuds non touchés aux tours de presse : −0.0067 ; tours calmes : +0.0312. Non interprétable : le générateur ne lit pas la presse.</w:t>
            </w:r>
          </w:p>
        </w:tc>
      </w:tr>
      <w:tr>
        <w:tc>
          <w:tcPr>
            <w:tcW w:type="dxa" w:w="1050"/>
            <w:shd w:fill="EDF3F9" w:val="clear"/>
            <w:tcMar>
              <w:top w:type="dxa" w:w="50"/>
              <w:left w:type="dxa" w:w="90"/>
              <w:bottom w:type="dxa" w:w="50"/>
              <w:right w:type="dxa" w:w="90"/>
            </w:tcMar>
            <w:vAlign w:val="center"/>
          </w:tcPr>
          <w:p>
            <w:pPr>
              <w:spacing w:after="20"/>
              <w:jc w:val="left"/>
            </w:pPr>
            <w:r>
              <w:rPr>
                <w:color w:val="1F3050"/>
                <w:sz w:val="17"/>
                <w:szCs w:val="17"/>
              </w:rPr>
              <w:t xml:space="preserve">HA6 hystérésis</w:t>
            </w:r>
          </w:p>
        </w:tc>
        <w:tc>
          <w:tcPr>
            <w:tcW w:type="dxa" w:w="1650"/>
            <w:shd w:fill="EDF3F9" w:val="clear"/>
            <w:tcMar>
              <w:top w:type="dxa" w:w="50"/>
              <w:left w:type="dxa" w:w="90"/>
              <w:bottom w:type="dxa" w:w="50"/>
              <w:right w:type="dxa" w:w="90"/>
            </w:tcMar>
            <w:vAlign w:val="center"/>
          </w:tcPr>
          <w:p>
            <w:pPr>
              <w:spacing w:after="20"/>
              <w:jc w:val="left"/>
            </w:pPr>
            <w:r>
              <w:rPr>
                <w:color w:val="1F3050"/>
                <w:sz w:val="17"/>
                <w:szCs w:val="17"/>
              </w:rPr>
              <w:t xml:space="preserve">NON APPLICABLE</w:t>
            </w:r>
          </w:p>
        </w:tc>
        <w:tc>
          <w:tcPr>
            <w:tcW w:type="dxa" w:w="6326"/>
            <w:shd w:fill="EDF3F9" w:val="clear"/>
            <w:tcMar>
              <w:top w:type="dxa" w:w="50"/>
              <w:left w:type="dxa" w:w="90"/>
              <w:bottom w:type="dxa" w:w="50"/>
              <w:right w:type="dxa" w:w="90"/>
            </w:tcMar>
            <w:vAlign w:val="center"/>
          </w:tcPr>
          <w:p>
            <w:pPr>
              <w:spacing w:after="20"/>
              <w:jc w:val="left"/>
            </w:pPr>
            <w:r>
              <w:rPr>
                <w:color w:val="1F3050"/>
                <w:sz w:val="17"/>
                <w:szCs w:val="17"/>
              </w:rPr>
              <w:t xml:space="preserve">Pente moyenne du Ur sur T17-T18 : +0.0097 (pas de décrue mesurable du Ur) ; pente Ud −0.0049. Conforme au constat de dry run : la décrue P5 du Ur est faible, HA6 se jouera sur les pentes comparées.</w:t>
            </w:r>
          </w:p>
        </w:tc>
      </w:tr>
    </w:tbl>
    <w:p>
      <w:pPr>
        <w:spacing w:after="160"/>
      </w:pPr>
    </w:p>
    <w:p>
      <w:pPr>
        <w:spacing w:after="120" w:line="276"/>
        <w:jc w:val="both"/>
      </w:pPr>
      <w:r>
        <w:t xml:space="preserve">La baseline nulle (détecteur « Ur local ≥ 0.5 ») donne précision 0.16 et rappel 0.27 sur la même grille que HA4 : c'est la barre que le signal H devra dépasser en campagne réelle pour démontrer sa valeur ajoutée (défi 3).</w:t>
      </w:r>
    </w:p>
    <w:p>
      <w:pPr>
        <w:pStyle w:val="Heading2"/>
        <w:spacing w:after="130" w:before="260"/>
      </w:pPr>
      <w:r>
        <w:t xml:space="preserve">10.4 Lecture d'ingénierie : pourquoi ces verdicts étaient attendus</w:t>
      </w:r>
    </w:p>
    <w:p>
      <w:pPr>
        <w:spacing w:after="120" w:line="276"/>
        <w:jc w:val="both"/>
      </w:pPr>
      <w:r>
        <w:t xml:space="preserve">Trois mécanismes expliquent l'échec uniforme des tests sur données synthétiques, et chacun est riche d'enseignement pour la campagne réelle.</w:t>
      </w:r>
    </w:p>
    <w:p>
      <w:pPr>
        <w:spacing w:after="120" w:line="276"/>
        <w:jc w:val="both"/>
      </w:pPr>
      <w:r>
        <w:t xml:space="preserve">D'abord, la circularité du Ud synthétique : ancré sur 1 + 8 × Ur_local, il colle au signal physique local par construction. Il ne peut donc ni être en retard sur lui (HA1), ni le sous-estimer durablement (HA2, HA4), ni sur-réagir à la presse (HA5). L'écart résiduel qui nourrit H vient uniquement de la propagation : le Ur d'un nœud intègre l'amont via β quand son Ud synthétique n'intègre l'aval que via γ ; c'est pour cela que les poches de H de la figure 4 se concentrent sur les nœuds aval (Orbitalys, Électis) aux tours où l'amont sature. Un Ud humain, lui, n'a aucune raison de coller au Ur local : c'est tout l'objet de la mesure.</w:t>
      </w:r>
    </w:p>
    <w:p>
      <w:pPr>
        <w:spacing w:after="120" w:line="276"/>
        <w:jc w:val="both"/>
      </w:pPr>
      <w:r>
        <w:t xml:space="preserve">Ensuite, la dégénérescence de la criticité en crise généralisée : neuf tours sur dix-neuf sont saturés (delta_ur_final nul pour tous), ce qui vide l'indice de son sens exactement quand la crise bat son plein. La règle d'exclusion pré-actée fonctionne, mais elle réduit l'échantillon du test HA3 à dix tours ; et sur ces tours, SilPure vole trois fois la première place à NovaFab (T5, T14, T17), tours où le choc simulé du fournisseur de wafers, plus profond dans la chaîne, traverse un réseau encore réactif. Le verdict à 70 % contre un seuil de 80 % n'est donc pas un échec du service : il documente que la fenêtre de lisibilité de l'indice est étroite en crise systémique, constat déjà versé au BST.</w:t>
      </w:r>
    </w:p>
    <w:p>
      <w:pPr>
        <w:spacing w:after="120" w:line="276"/>
        <w:jc w:val="both"/>
      </w:pPr>
      <w:r>
        <w:t xml:space="preserve">Enfin, l'adéquation moyenne (figure 3) raconte le comportement du score plus que celui des joueurs : les creux de T4-T5 et T7 montrent que A réagit bien aux bascules rapides (le Ur bouge, le Ud traîne d'un cran), la remontée paradoxale de P3 (jusqu'à 90.7 à T11) montre qu'un réseau uniformément saturé où le Ud suit produit une adéquation élevée, et l'érosion de P4-P5 (62.9 à T18) trace la montée du H des nœuds aval. Ces trois régimes donnent la grille de lecture des courbes humaines au débrief.</w:t>
      </w:r>
    </w:p>
    <w:p>
      <w:pPr>
        <w:pStyle w:val="Heading2"/>
        <w:spacing w:after="130" w:before="260"/>
      </w:pPr>
      <w:r>
        <w:t xml:space="preserve">10.5 Ce que le rejeu valide définitivement</w:t>
      </w:r>
    </w:p>
    <w:p>
      <w:pPr>
        <w:pStyle w:val="ListParagraph"/>
        <w:numPr>
          <w:ilvl w:val="0"/>
          <w:numId w:val="3"/>
        </w:numPr>
        <w:spacing w:after="60" w:line="264"/>
        <w:jc w:val="both"/>
      </w:pPr>
      <w:r>
        <w:t xml:space="preserve">La chaîne logistique complète tient le rythme de deux tours par jour : injection, fiches, couverture, clôture, snapshot et sauvegarde s'enchaînent sans intervention manuelle sur la base.</w:t>
      </w:r>
    </w:p>
    <w:p>
      <w:pPr>
        <w:pStyle w:val="ListParagraph"/>
        <w:numPr>
          <w:ilvl w:val="0"/>
          <w:numId w:val="3"/>
        </w:numPr>
        <w:spacing w:after="60" w:line="264"/>
        <w:jc w:val="both"/>
      </w:pPr>
      <w:r>
        <w:t xml:space="preserve">Les garde-fous fonctionnent : idempotence des tours (rejets constatés), anti-lookahead structurel des fiches, gel vérifiable du pack, variantes placebo générées aux bons tours.</w:t>
      </w:r>
    </w:p>
    <w:p>
      <w:pPr>
        <w:pStyle w:val="ListParagraph"/>
        <w:numPr>
          <w:ilvl w:val="0"/>
          <w:numId w:val="3"/>
        </w:numPr>
        <w:spacing w:after="60" w:line="264"/>
        <w:jc w:val="both"/>
      </w:pPr>
      <w:r>
        <w:t xml:space="preserve">Le scénario est mécaniquement plausible : le goulot attendu sature aux bons tours, les événements produisent des impacts du bon ordre de grandeur, la décrue est faible comme dans la réalité.</w:t>
      </w:r>
    </w:p>
    <w:p>
      <w:pPr>
        <w:pStyle w:val="ListParagraph"/>
        <w:numPr>
          <w:ilvl w:val="0"/>
          <w:numId w:val="3"/>
        </w:numPr>
        <w:spacing w:after="60" w:line="264"/>
        <w:jc w:val="both"/>
      </w:pPr>
      <w:r>
        <w:t xml:space="preserve">La chaîne d'analyse (analyse_campagne.py) produit rapport, CSV et figures depuis les snapshots sans retouche ; les tests pré-enregistrés sont exécutables tels quels sur les données humaines.</w:t>
      </w:r>
    </w:p>
    <w:p>
      <w:pPr>
        <w:pStyle w:val="Heading1"/>
        <w:pageBreakBefore/>
        <w:spacing w:after="180" w:before="240"/>
      </w:pPr>
      <w:r>
        <w:t xml:space="preserve">11. État d'avancement et prochaines étapes</w:t>
      </w:r>
    </w:p>
    <w:p>
      <w:pPr>
        <w:pStyle w:val="Heading2"/>
        <w:spacing w:after="130" w:before="260"/>
      </w:pPr>
      <w:r>
        <w:t xml:space="preserve">11.1 Fait à ce jour (8 juillet 2026)</w:t>
      </w:r>
    </w:p>
    <w:p>
      <w:pPr>
        <w:pStyle w:val="ListParagraph"/>
        <w:numPr>
          <w:ilvl w:val="0"/>
          <w:numId w:val="3"/>
        </w:numPr>
        <w:spacing w:after="60" w:line="264"/>
        <w:jc w:val="both"/>
      </w:pPr>
      <w:r>
        <w:t xml:space="preserve">Plan initial rédigé et arbitré (commit 754c750), protocole détaillé livré et versionné (PROTOCOLE.md), scénario complet (scenario.py, narration.md).</w:t>
      </w:r>
    </w:p>
    <w:p>
      <w:pPr>
        <w:pStyle w:val="ListParagraph"/>
        <w:numPr>
          <w:ilvl w:val="0"/>
          <w:numId w:val="3"/>
        </w:numPr>
        <w:spacing w:after="60" w:line="264"/>
        <w:jc w:val="both"/>
      </w:pPr>
      <w:r>
        <w:t xml:space="preserve">Données acquises et vérifiées : six séries INSEE, WSTS, un dataset Kaggle authentifié et intégré, un dataset écarté au contrôle HD5 (commits fa503f8 et eacb8ad).</w:t>
      </w:r>
    </w:p>
    <w:p>
      <w:pPr>
        <w:pStyle w:val="ListParagraph"/>
        <w:numPr>
          <w:ilvl w:val="0"/>
          <w:numId w:val="3"/>
        </w:numPr>
        <w:spacing w:after="60" w:line="264"/>
        <w:jc w:val="both"/>
      </w:pPr>
      <w:r>
        <w:t xml:space="preserve">Pipeline et pack gelé (HASHES.sha256), six scripts d'exploitation avec garde-fous, générateur de fiches et cartes de rôle.</w:t>
      </w:r>
    </w:p>
    <w:p>
      <w:pPr>
        <w:pStyle w:val="ListParagraph"/>
        <w:numPr>
          <w:ilvl w:val="0"/>
          <w:numId w:val="3"/>
        </w:numPr>
        <w:spacing w:after="60" w:line="264"/>
        <w:jc w:val="both"/>
      </w:pPr>
      <w:r>
        <w:t xml:space="preserve">Cinq dry runs, huit décisions méthodologiques actées et documentées, rejeu grandeur nature des 19 tours exécuté avec snapshots, sauvegardes et analyse de bout en bout.</w:t>
      </w:r>
    </w:p>
    <w:p>
      <w:pPr>
        <w:pStyle w:val="ListParagraph"/>
        <w:numPr>
          <w:ilvl w:val="0"/>
          <w:numId w:val="3"/>
        </w:numPr>
        <w:spacing w:after="60" w:line="264"/>
        <w:jc w:val="both"/>
      </w:pPr>
      <w:r>
        <w:t xml:space="preserve">BST mis à jour : hypothèses H1-H6 en section 2.4, section sec:serious_game pré-remplie avec les blocs rouges [TO COMPLETE AFTER THE CAMPAIGN] pour les résultats et les enseignements.</w:t>
      </w:r>
    </w:p>
    <w:p>
      <w:pPr>
        <w:pStyle w:val="Heading2"/>
        <w:spacing w:after="130" w:before="260"/>
      </w:pPr>
      <w:r>
        <w:t xml:space="preserve">11.2 Reste à faire</w:t>
      </w:r>
    </w:p>
    <w:p>
      <w:pPr>
        <w:pStyle w:val="ListParagraph"/>
        <w:numPr>
          <w:ilvl w:val="0"/>
          <w:numId w:val="6"/>
        </w:numPr>
        <w:spacing w:after="60" w:line="264"/>
        <w:jc w:val="both"/>
      </w:pPr>
      <w:r>
        <w:t xml:space="preserve">Compléter l'affectation nominative C1-C8 (règle d'expérience de la section 8.7) et la consigner au journal avant T0.</w:t>
      </w:r>
    </w:p>
    <w:p>
      <w:pPr>
        <w:pStyle w:val="ListParagraph"/>
        <w:numPr>
          <w:ilvl w:val="0"/>
          <w:numId w:val="6"/>
        </w:numPr>
        <w:spacing w:after="60" w:line="264"/>
        <w:jc w:val="both"/>
      </w:pPr>
      <w:r>
        <w:t xml:space="preserve">Jouer le kickoff J5 (30 minutes) : présentation, cartes de rôle, contrat, tour d'entraînement T0, gel formel du protocole.</w:t>
      </w:r>
    </w:p>
    <w:p>
      <w:pPr>
        <w:pStyle w:val="ListParagraph"/>
        <w:numPr>
          <w:ilvl w:val="0"/>
          <w:numId w:val="6"/>
        </w:numPr>
        <w:spacing w:after="60" w:line="264"/>
        <w:jc w:val="both"/>
      </w:pPr>
      <w:r>
        <w:t xml:space="preserve">Dérouler la campagne humaine : 18 tours en neuf jours ouvrés, journal quotidien, placebos à T9 et T15.</w:t>
      </w:r>
    </w:p>
    <w:p>
      <w:pPr>
        <w:pStyle w:val="ListParagraph"/>
        <w:numPr>
          <w:ilvl w:val="0"/>
          <w:numId w:val="6"/>
        </w:numPr>
        <w:spacing w:after="60" w:line="264"/>
        <w:jc w:val="both"/>
      </w:pPr>
      <w:r>
        <w:t xml:space="preserve">Jour J15 : analyse pré-enregistrée, débrief-reveal, question de reconnaissance de la crise (HC4), restitution des courbes.</w:t>
      </w:r>
    </w:p>
    <w:p>
      <w:pPr>
        <w:pStyle w:val="ListParagraph"/>
        <w:numPr>
          <w:ilvl w:val="0"/>
          <w:numId w:val="6"/>
        </w:numPr>
        <w:spacing w:after="60" w:line="264"/>
        <w:jc w:val="both"/>
      </w:pPr>
      <w:r>
        <w:t xml:space="preserve">Remplir les blocs réservés du BST (résultats par hypothèse, enseignements, recalibrations éventuelles de λ_under, α et ω_m) et statuer sur chaque hypothèse : confirmée, réfutée ou non conclusive.</w:t>
      </w:r>
    </w:p>
    <w:p>
      <w:pPr>
        <w:pStyle w:val="ListParagraph"/>
        <w:numPr>
          <w:ilvl w:val="0"/>
          <w:numId w:val="6"/>
        </w:numPr>
        <w:spacing w:after="60" w:line="264"/>
        <w:jc w:val="both"/>
      </w:pPr>
      <w:r>
        <w:t xml:space="preserve">Analyses étiquetées EXPLORATOIRES le cas échéant (toute analyse hors registre), et analyse de sensibilité U10 (exclusions de consultants, ±50 % sur les constantes posées).</w:t>
      </w:r>
    </w:p>
    <w:p>
      <w:pPr>
        <w:pStyle w:val="Heading2"/>
        <w:spacing w:after="130" w:before="260"/>
      </w:pPr>
      <w:r>
        <w:t xml:space="preserve">11.3 Décisions déjà arbitrées pour la suite</w:t>
      </w:r>
    </w:p>
    <w:p>
      <w:pPr>
        <w:spacing w:after="120" w:line="276"/>
        <w:jc w:val="both"/>
      </w:pPr>
      <w:r>
        <w:t xml:space="preserve">Trois arbitrages sont pré-actés et ne seront pas rediscutés à chaud : la troncature à T16 en cas de débordement de plus de deux tours (jamais de bâclage) ; le passage à un tour par jour si le questionnaire dépasse dix minutes à T0 (HC2) ; et la règle de report à l'identique en cas d'absence ou d'échec de cohérence, avec traçage systématique et exclusion des analyses de réactivité.</w:t>
      </w:r>
    </w:p>
    <w:p>
      <w:pPr>
        <w:pStyle w:val="Heading1"/>
        <w:pageBreakBefore/>
        <w:spacing w:after="180" w:before="240"/>
      </w:pPr>
      <w:r>
        <w:t xml:space="preserve">12. Limites et menaces à la validité</w:t>
      </w:r>
    </w:p>
    <w:p>
      <w:pPr>
        <w:pStyle w:val="Heading2"/>
        <w:spacing w:after="130" w:before="260"/>
      </w:pPr>
      <w:r>
        <w:t xml:space="preserve">12.1 Limites de conception, assumées avant la campagne</w:t>
      </w:r>
    </w:p>
    <w:p>
      <w:pPr>
        <w:pStyle w:val="ListParagraph"/>
        <w:numPr>
          <w:ilvl w:val="0"/>
          <w:numId w:val="3"/>
        </w:numPr>
        <w:spacing w:after="60" w:line="264"/>
        <w:jc w:val="both"/>
      </w:pPr>
      <w:r>
        <w:t xml:space="preserve">Huit consultants, un seul réseau, une seule crise : la puissance statistique est faible et les seuils chiffrés des hypothèses (5 nœuds sur 8, 80 % des tours) sont des critères de décision, pas des tests d'inférence au sens strict. Le test HA4 porte l'avertissement explicite : sous 30 points d'observation, non conclusif.</w:t>
      </w:r>
    </w:p>
    <w:p>
      <w:pPr>
        <w:pStyle w:val="ListParagraph"/>
        <w:numPr>
          <w:ilvl w:val="0"/>
          <w:numId w:val="3"/>
        </w:numPr>
        <w:spacing w:after="60" w:line="264"/>
        <w:jc w:val="both"/>
      </w:pPr>
      <w:r>
        <w:t xml:space="preserve">La compression temporelle (un mois vécu en une demi-journée) accélère la boucle de perception ; la latence mesurée (HA1) est une latence de tours de jeu, sa conversion en latence réelle reste une extrapolation.</w:t>
      </w:r>
    </w:p>
    <w:p>
      <w:pPr>
        <w:pStyle w:val="ListParagraph"/>
        <w:numPr>
          <w:ilvl w:val="0"/>
          <w:numId w:val="3"/>
        </w:numPr>
        <w:spacing w:after="60" w:line="264"/>
        <w:jc w:val="both"/>
      </w:pPr>
      <w:r>
        <w:t xml:space="preserve">L'aveuglement repose sur des règles, pas sur des verrous techniques (HC7) ; la concertation entre consultants est interdite mais pas empêchée.</w:t>
      </w:r>
    </w:p>
    <w:p>
      <w:pPr>
        <w:pStyle w:val="ListParagraph"/>
        <w:numPr>
          <w:ilvl w:val="0"/>
          <w:numId w:val="3"/>
        </w:numPr>
        <w:spacing w:after="60" w:line="264"/>
        <w:jc w:val="both"/>
      </w:pPr>
      <w:r>
        <w:t xml:space="preserve">Deux placebos seulement (n = 2) : le contrôle HC4 est indicatif, pas statistique.</w:t>
      </w:r>
    </w:p>
    <w:p>
      <w:pPr>
        <w:pStyle w:val="ListParagraph"/>
        <w:numPr>
          <w:ilvl w:val="0"/>
          <w:numId w:val="3"/>
        </w:numPr>
        <w:spacing w:after="60" w:line="264"/>
        <w:jc w:val="both"/>
      </w:pPr>
      <w:r>
        <w:t xml:space="preserve">Certains KPIs restent scriptés faute de série publique (couverture AvioSys) ou pilotés par événements (fret, silicium) : documenté nœud par nœud, mais le Ur de ces blocs reste en partie une écriture d'auteur.</w:t>
      </w:r>
    </w:p>
    <w:p>
      <w:pPr>
        <w:pStyle w:val="ListParagraph"/>
        <w:numPr>
          <w:ilvl w:val="0"/>
          <w:numId w:val="3"/>
        </w:numPr>
        <w:spacing w:after="60" w:line="264"/>
        <w:jc w:val="both"/>
      </w:pPr>
      <w:r>
        <w:t xml:space="preserve">La série PPI Kaggle s'arrête en novembre 2021 : le contexte de coût de NovaFab est constant sur T16-T18.</w:t>
      </w:r>
    </w:p>
    <w:p>
      <w:pPr>
        <w:pStyle w:val="ListParagraph"/>
        <w:numPr>
          <w:ilvl w:val="0"/>
          <w:numId w:val="3"/>
        </w:numPr>
        <w:spacing w:after="60" w:line="264"/>
        <w:jc w:val="both"/>
      </w:pPr>
      <w:r>
        <w:t xml:space="preserve">La série des défaillances joue à contre-signal sur la période (soutien public) : conservée volontairement, elle rappelle qu'un indicateur macro seul peut raconter le contraire du terrain.</w:t>
      </w:r>
    </w:p>
    <w:p>
      <w:pPr>
        <w:pStyle w:val="Heading2"/>
        <w:spacing w:after="130" w:before="260"/>
      </w:pPr>
      <w:r>
        <w:t xml:space="preserve">12.2 Menaces à la validité et parades</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3000"/>
        <w:gridCol w:w="6026"/>
      </w:tblGrid>
      <w:tr>
        <w:trPr>
          <w:tblHeader/>
        </w:trPr>
        <w:tc>
          <w:tcPr>
            <w:tcW w:type="dxa" w:w="3000"/>
            <w:shd w:fill="0072BC" w:val="clear"/>
            <w:tcMar>
              <w:top w:type="dxa" w:w="50"/>
              <w:left w:type="dxa" w:w="90"/>
              <w:bottom w:type="dxa" w:w="50"/>
              <w:right w:type="dxa" w:w="90"/>
            </w:tcMar>
            <w:vAlign w:val="center"/>
          </w:tcPr>
          <w:p>
            <w:pPr>
              <w:spacing w:after="20"/>
              <w:jc w:val="left"/>
            </w:pPr>
            <w:r>
              <w:rPr>
                <w:b/>
                <w:bCs/>
                <w:color w:val="FFFFFF"/>
                <w:sz w:val="17"/>
                <w:szCs w:val="17"/>
              </w:rPr>
              <w:t xml:space="preserve">Menace</w:t>
            </w:r>
          </w:p>
        </w:tc>
        <w:tc>
          <w:tcPr>
            <w:tcW w:type="dxa" w:w="6026"/>
            <w:shd w:fill="0072BC" w:val="clear"/>
            <w:tcMar>
              <w:top w:type="dxa" w:w="50"/>
              <w:left w:type="dxa" w:w="90"/>
              <w:bottom w:type="dxa" w:w="50"/>
              <w:right w:type="dxa" w:w="90"/>
            </w:tcMar>
            <w:vAlign w:val="center"/>
          </w:tcPr>
          <w:p>
            <w:pPr>
              <w:spacing w:after="20"/>
              <w:jc w:val="left"/>
            </w:pPr>
            <w:r>
              <w:rPr>
                <w:b/>
                <w:bCs/>
                <w:color w:val="FFFFFF"/>
                <w:sz w:val="17"/>
                <w:szCs w:val="17"/>
              </w:rPr>
              <w:t xml:space="preserve">Parade dans le protocole</w:t>
            </w:r>
          </w:p>
        </w:tc>
      </w:tr>
      <w:tr>
        <w:tc>
          <w:tcPr>
            <w:tcW w:type="dxa" w:w="3000"/>
            <w:tcMar>
              <w:top w:type="dxa" w:w="50"/>
              <w:left w:type="dxa" w:w="90"/>
              <w:bottom w:type="dxa" w:w="50"/>
              <w:right w:type="dxa" w:w="90"/>
            </w:tcMar>
            <w:vAlign w:val="center"/>
          </w:tcPr>
          <w:p>
            <w:pPr>
              <w:spacing w:after="20"/>
              <w:jc w:val="left"/>
            </w:pPr>
            <w:r>
              <w:rPr>
                <w:color w:val="1F3050"/>
                <w:sz w:val="17"/>
                <w:szCs w:val="17"/>
              </w:rPr>
              <w:t xml:space="preserve">Effet de demande (les consultants déclarent ce qu'ils croient attendu)</w:t>
            </w:r>
          </w:p>
        </w:tc>
        <w:tc>
          <w:tcPr>
            <w:tcW w:type="dxa" w:w="6026"/>
            <w:tcMar>
              <w:top w:type="dxa" w:w="50"/>
              <w:left w:type="dxa" w:w="90"/>
              <w:bottom w:type="dxa" w:w="50"/>
              <w:right w:type="dxa" w:w="90"/>
            </w:tcMar>
            <w:vAlign w:val="center"/>
          </w:tcPr>
          <w:p>
            <w:pPr>
              <w:spacing w:after="20"/>
              <w:jc w:val="left"/>
            </w:pPr>
            <w:r>
              <w:rPr>
                <w:color w:val="1F3050"/>
                <w:sz w:val="17"/>
                <w:szCs w:val="17"/>
              </w:rPr>
              <w:t xml:space="preserve">Consigne explicite « pas de bonne réponse » ; scores masqués jusqu'au débrief ; personas qui ne disent jamais combien s'inquiéter (HC9).</w:t>
            </w:r>
          </w:p>
        </w:tc>
      </w:tr>
      <w:tr>
        <w:tc>
          <w:tcPr>
            <w:tcW w:type="dxa" w:w="3000"/>
            <w:shd w:fill="EDF3F9" w:val="clear"/>
            <w:tcMar>
              <w:top w:type="dxa" w:w="50"/>
              <w:left w:type="dxa" w:w="90"/>
              <w:bottom w:type="dxa" w:w="50"/>
              <w:right w:type="dxa" w:w="90"/>
            </w:tcMar>
            <w:vAlign w:val="center"/>
          </w:tcPr>
          <w:p>
            <w:pPr>
              <w:spacing w:after="20"/>
              <w:jc w:val="left"/>
            </w:pPr>
            <w:r>
              <w:rPr>
                <w:color w:val="1F3050"/>
                <w:sz w:val="17"/>
                <w:szCs w:val="17"/>
              </w:rPr>
              <w:t xml:space="preserve">Récitation d'un souvenir de la crise réelle plutôt qu'un jugement en aveugle</w:t>
            </w:r>
          </w:p>
        </w:tc>
        <w:tc>
          <w:tcPr>
            <w:tcW w:type="dxa" w:w="6026"/>
            <w:shd w:fill="EDF3F9" w:val="clear"/>
            <w:tcMar>
              <w:top w:type="dxa" w:w="50"/>
              <w:left w:type="dxa" w:w="90"/>
              <w:bottom w:type="dxa" w:w="50"/>
              <w:right w:type="dxa" w:w="90"/>
            </w:tcMar>
            <w:vAlign w:val="center"/>
          </w:tcPr>
          <w:p>
            <w:pPr>
              <w:spacing w:after="20"/>
              <w:jc w:val="left"/>
            </w:pPr>
            <w:r>
              <w:rPr>
                <w:color w:val="1F3050"/>
                <w:sz w:val="17"/>
                <w:szCs w:val="17"/>
              </w:rPr>
              <w:t xml:space="preserve">Couverture narrative complète ; question de reconnaissance au débrief ; placebos HC4 dont l'écart mesure la suggestibilité aux fiches.</w:t>
            </w:r>
          </w:p>
        </w:tc>
      </w:tr>
      <w:tr>
        <w:tc>
          <w:tcPr>
            <w:tcW w:type="dxa" w:w="3000"/>
            <w:tcMar>
              <w:top w:type="dxa" w:w="50"/>
              <w:left w:type="dxa" w:w="90"/>
              <w:bottom w:type="dxa" w:w="50"/>
              <w:right w:type="dxa" w:w="90"/>
            </w:tcMar>
            <w:vAlign w:val="center"/>
          </w:tcPr>
          <w:p>
            <w:pPr>
              <w:spacing w:after="20"/>
              <w:jc w:val="left"/>
            </w:pPr>
            <w:r>
              <w:rPr>
                <w:color w:val="1F3050"/>
                <w:sz w:val="17"/>
                <w:szCs w:val="17"/>
              </w:rPr>
              <w:t xml:space="preserve">Confusion effet de rôle / effet d'expertise</w:t>
            </w:r>
          </w:p>
        </w:tc>
        <w:tc>
          <w:tcPr>
            <w:tcW w:type="dxa" w:w="6026"/>
            <w:tcMar>
              <w:top w:type="dxa" w:w="50"/>
              <w:left w:type="dxa" w:w="90"/>
              <w:bottom w:type="dxa" w:w="50"/>
              <w:right w:type="dxa" w:w="90"/>
            </w:tcMar>
            <w:vAlign w:val="center"/>
          </w:tcPr>
          <w:p>
            <w:pPr>
              <w:spacing w:after="20"/>
              <w:jc w:val="left"/>
            </w:pPr>
            <w:r>
              <w:rPr>
                <w:color w:val="1F3050"/>
                <w:sz w:val="17"/>
                <w:szCs w:val="17"/>
              </w:rPr>
              <w:t xml:space="preserve">Règle d'affectation : les rôles les plus informés ne vont pas aux plus expérimentés ; affectation consignée avant T0.</w:t>
            </w:r>
          </w:p>
        </w:tc>
      </w:tr>
      <w:tr>
        <w:tc>
          <w:tcPr>
            <w:tcW w:type="dxa" w:w="3000"/>
            <w:shd w:fill="EDF3F9" w:val="clear"/>
            <w:tcMar>
              <w:top w:type="dxa" w:w="50"/>
              <w:left w:type="dxa" w:w="90"/>
              <w:bottom w:type="dxa" w:w="50"/>
              <w:right w:type="dxa" w:w="90"/>
            </w:tcMar>
            <w:vAlign w:val="center"/>
          </w:tcPr>
          <w:p>
            <w:pPr>
              <w:spacing w:after="20"/>
              <w:jc w:val="left"/>
            </w:pPr>
            <w:r>
              <w:rPr>
                <w:color w:val="1F3050"/>
                <w:sz w:val="17"/>
                <w:szCs w:val="17"/>
              </w:rPr>
              <w:t xml:space="preserve">Fuite d'information future</w:t>
            </w:r>
          </w:p>
        </w:tc>
        <w:tc>
          <w:tcPr>
            <w:tcW w:type="dxa" w:w="6026"/>
            <w:shd w:fill="EDF3F9" w:val="clear"/>
            <w:tcMar>
              <w:top w:type="dxa" w:w="50"/>
              <w:left w:type="dxa" w:w="90"/>
              <w:bottom w:type="dxa" w:w="50"/>
              <w:right w:type="dxa" w:w="90"/>
            </w:tcMar>
            <w:vAlign w:val="center"/>
          </w:tcPr>
          <w:p>
            <w:pPr>
              <w:spacing w:after="20"/>
              <w:jc w:val="left"/>
            </w:pPr>
            <w:r>
              <w:rPr>
                <w:color w:val="1F3050"/>
                <w:sz w:val="17"/>
                <w:szCs w:val="17"/>
              </w:rPr>
              <w:t xml:space="preserve">Anti-lookahead structurel du générateur de fiches ; pack gelé par hachage ; contrôle anti-fuite manuel au J4.</w:t>
            </w:r>
          </w:p>
        </w:tc>
      </w:tr>
      <w:tr>
        <w:tc>
          <w:tcPr>
            <w:tcW w:type="dxa" w:w="3000"/>
            <w:tcMar>
              <w:top w:type="dxa" w:w="50"/>
              <w:left w:type="dxa" w:w="90"/>
              <w:bottom w:type="dxa" w:w="50"/>
              <w:right w:type="dxa" w:w="90"/>
            </w:tcMar>
            <w:vAlign w:val="center"/>
          </w:tcPr>
          <w:p>
            <w:pPr>
              <w:spacing w:after="20"/>
              <w:jc w:val="left"/>
            </w:pPr>
            <w:r>
              <w:rPr>
                <w:color w:val="1F3050"/>
                <w:sz w:val="17"/>
                <w:szCs w:val="17"/>
              </w:rPr>
              <w:t xml:space="preserve">Dérive du protocole en cours de route</w:t>
            </w:r>
          </w:p>
        </w:tc>
        <w:tc>
          <w:tcPr>
            <w:tcW w:type="dxa" w:w="6026"/>
            <w:tcMar>
              <w:top w:type="dxa" w:w="50"/>
              <w:left w:type="dxa" w:w="90"/>
              <w:bottom w:type="dxa" w:w="50"/>
              <w:right w:type="dxa" w:w="90"/>
            </w:tcMar>
            <w:vAlign w:val="center"/>
          </w:tcPr>
          <w:p>
            <w:pPr>
              <w:spacing w:after="20"/>
              <w:jc w:val="left"/>
            </w:pPr>
            <w:r>
              <w:rPr>
                <w:color w:val="1F3050"/>
                <w:sz w:val="17"/>
                <w:szCs w:val="17"/>
              </w:rPr>
              <w:t xml:space="preserve">Gel à J5 ; contingences pré-actées ; tout écart consigné au journal le jour même ; modifications uniquement en annexe justifiée.</w:t>
            </w:r>
          </w:p>
        </w:tc>
      </w:tr>
      <w:tr>
        <w:tc>
          <w:tcPr>
            <w:tcW w:type="dxa" w:w="3000"/>
            <w:shd w:fill="EDF3F9" w:val="clear"/>
            <w:tcMar>
              <w:top w:type="dxa" w:w="50"/>
              <w:left w:type="dxa" w:w="90"/>
              <w:bottom w:type="dxa" w:w="50"/>
              <w:right w:type="dxa" w:w="90"/>
            </w:tcMar>
            <w:vAlign w:val="center"/>
          </w:tcPr>
          <w:p>
            <w:pPr>
              <w:spacing w:after="20"/>
              <w:jc w:val="left"/>
            </w:pPr>
            <w:r>
              <w:rPr>
                <w:color w:val="1F3050"/>
                <w:sz w:val="17"/>
                <w:szCs w:val="17"/>
              </w:rPr>
              <w:t xml:space="preserve">Choix opportuniste des analyses après coup</w:t>
            </w:r>
          </w:p>
        </w:tc>
        <w:tc>
          <w:tcPr>
            <w:tcW w:type="dxa" w:w="6026"/>
            <w:shd w:fill="EDF3F9" w:val="clear"/>
            <w:tcMar>
              <w:top w:type="dxa" w:w="50"/>
              <w:left w:type="dxa" w:w="90"/>
              <w:bottom w:type="dxa" w:w="50"/>
              <w:right w:type="dxa" w:w="90"/>
            </w:tcMar>
            <w:vAlign w:val="center"/>
          </w:tcPr>
          <w:p>
            <w:pPr>
              <w:spacing w:after="20"/>
              <w:jc w:val="left"/>
            </w:pPr>
            <w:r>
              <w:rPr>
                <w:color w:val="1F3050"/>
                <w:sz w:val="17"/>
                <w:szCs w:val="17"/>
              </w:rPr>
              <w:t xml:space="preserve">Registre pré-enregistré implémenté dans le code d'analyse avant les données ; tout le reste étiqueté EXPLORATOIRE ; baseline nulle imposée.</w:t>
            </w:r>
          </w:p>
        </w:tc>
      </w:tr>
    </w:tbl>
    <w:p>
      <w:pPr>
        <w:spacing w:after="160"/>
      </w:pPr>
    </w:p>
    <w:p>
      <w:pPr>
        <w:spacing w:after="120" w:line="276"/>
        <w:jc w:val="both"/>
      </w:pPr>
      <w:r>
        <w:t xml:space="preserve">Enfin, une limite de périmètre mérite d'être répétée : même en cas de succès complet, la campagne valide le signal d'adéquation sur UNE crise rejouée avec HUIT opérateurs dans UN réseau de huit nœuds. Elle établit l'existence et la mesurabilité du phénomène, pas sa généralité ; la généralisation demanderait d'autres terrains, d'autres tailles de réseau et des opérateurs aux profils variés.</w:t>
      </w:r>
    </w:p>
    <w:p>
      <w:pPr>
        <w:pStyle w:val="Heading1"/>
        <w:pageBreakBefore/>
        <w:spacing w:after="180" w:before="240"/>
      </w:pPr>
      <w:r>
        <w:t xml:space="preserve">Annexe A. Correspondance tours, mois réels et phases</w:t>
      </w:r>
    </w:p>
    <w:p>
      <w:pPr>
        <w:spacing w:after="120" w:line="276"/>
        <w:jc w:val="both"/>
      </w:pPr>
      <w:r>
        <w:t xml:space="preserve">Table interne (jamais montrée aux consultants avant le débrief). Le tour T0 est un tour d'entraînement sur un numéro d'essai sans signal.</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900"/>
        <w:gridCol w:w="1500"/>
        <w:gridCol w:w="1300"/>
        <w:gridCol w:w="5326"/>
      </w:tblGrid>
      <w:tr>
        <w:trPr>
          <w:tblHeader/>
        </w:trPr>
        <w:tc>
          <w:tcPr>
            <w:tcW w:type="dxa" w:w="900"/>
            <w:shd w:fill="0072BC" w:val="clear"/>
            <w:tcMar>
              <w:top w:type="dxa" w:w="50"/>
              <w:left w:type="dxa" w:w="90"/>
              <w:bottom w:type="dxa" w:w="50"/>
              <w:right w:type="dxa" w:w="90"/>
            </w:tcMar>
            <w:vAlign w:val="center"/>
          </w:tcPr>
          <w:p>
            <w:pPr>
              <w:spacing w:after="20"/>
              <w:jc w:val="left"/>
            </w:pPr>
            <w:r>
              <w:rPr>
                <w:b/>
                <w:bCs/>
                <w:color w:val="FFFFFF"/>
                <w:sz w:val="17"/>
                <w:szCs w:val="17"/>
              </w:rPr>
              <w:t xml:space="preserve">Tour</w:t>
            </w:r>
          </w:p>
        </w:tc>
        <w:tc>
          <w:tcPr>
            <w:tcW w:type="dxa" w:w="1500"/>
            <w:shd w:fill="0072BC" w:val="clear"/>
            <w:tcMar>
              <w:top w:type="dxa" w:w="50"/>
              <w:left w:type="dxa" w:w="90"/>
              <w:bottom w:type="dxa" w:w="50"/>
              <w:right w:type="dxa" w:w="90"/>
            </w:tcMar>
            <w:vAlign w:val="center"/>
          </w:tcPr>
          <w:p>
            <w:pPr>
              <w:spacing w:after="20"/>
              <w:jc w:val="left"/>
            </w:pPr>
            <w:r>
              <w:rPr>
                <w:b/>
                <w:bCs/>
                <w:color w:val="FFFFFF"/>
                <w:sz w:val="17"/>
                <w:szCs w:val="17"/>
              </w:rPr>
              <w:t xml:space="preserve">Mois réel</w:t>
            </w:r>
          </w:p>
        </w:tc>
        <w:tc>
          <w:tcPr>
            <w:tcW w:type="dxa" w:w="1300"/>
            <w:shd w:fill="0072BC" w:val="clear"/>
            <w:tcMar>
              <w:top w:type="dxa" w:w="50"/>
              <w:left w:type="dxa" w:w="90"/>
              <w:bottom w:type="dxa" w:w="50"/>
              <w:right w:type="dxa" w:w="90"/>
            </w:tcMar>
            <w:vAlign w:val="center"/>
          </w:tcPr>
          <w:p>
            <w:pPr>
              <w:spacing w:after="20"/>
              <w:jc w:val="left"/>
            </w:pPr>
            <w:r>
              <w:rPr>
                <w:b/>
                <w:bCs/>
                <w:color w:val="FFFFFF"/>
                <w:sz w:val="17"/>
                <w:szCs w:val="17"/>
              </w:rPr>
              <w:t xml:space="preserve">Phase</w:t>
            </w:r>
          </w:p>
        </w:tc>
        <w:tc>
          <w:tcPr>
            <w:tcW w:type="dxa" w:w="5326"/>
            <w:shd w:fill="0072BC" w:val="clear"/>
            <w:tcMar>
              <w:top w:type="dxa" w:w="50"/>
              <w:left w:type="dxa" w:w="90"/>
              <w:bottom w:type="dxa" w:w="50"/>
              <w:right w:type="dxa" w:w="90"/>
            </w:tcMar>
            <w:vAlign w:val="center"/>
          </w:tcPr>
          <w:p>
            <w:pPr>
              <w:spacing w:after="20"/>
              <w:jc w:val="left"/>
            </w:pPr>
            <w:r>
              <w:rPr>
                <w:b/>
                <w:bCs/>
                <w:color w:val="FFFFFF"/>
                <w:sz w:val="17"/>
                <w:szCs w:val="17"/>
              </w:rPr>
              <w:t xml:space="preserve">Fait marquant du tour</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T0</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(fictif)</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Entraînement</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Rien de notable : prise en main du questionnaire.</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T1</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2020-09</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P1</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Records de ventes IT post-confinement ; usines à plein.</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T2</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2020-10</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P1</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Reprise automobile plus forte que prévu ; premiers délais étendus.</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T3</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2020-11</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P1</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Recommandes auto sur créneaux vendus ; délais 12 vers 14 semaines ; pic de demande NovaFab.</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T4</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2020-12</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P1</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Signal faible de contrôle : la presse évoque une « tension », sans événement moteur.</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T5</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2021-01</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P2</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Arrêts de lignes automobiles ; CompoDis passe en allocation (30 % du catalogue).</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T6</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2021-02</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P2</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Gel Texas : fab NovaFab arrêtée à chaud, force majeure, 4 semaines de redémarrage.</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T7</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2021-03</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P2</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Incendie chez un fondeur concurrent ; Suez bloqué six jours ; +25 % sur le carnet NovaFab.</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T8</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2021-04</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P2</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Délais publiés 22 semaines ; échéance HÉLIOS-1 (glissera) ; AvioSys à 7 semaines de stock.</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T9</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2021-05</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P3</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Sécheresse : réservoirs à 15 % ; placebo AvioSys (récit de détente).</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T10</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2021-06</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P3</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Eau rationnée, camions-citernes ; SilPure complet jusqu'à fin 2022 ; rupture matière NovaFab.</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T11</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2021-07</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P3</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Marché spot à des multiples du prix catalogue ; achat spot validé chez Électis.</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T12</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2021-08</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P3</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Backend Asie du Sud-Est en rotations ; Électis perd 30 % de capacité aval ; fret aérien saturé.</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T13</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2021-09</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P4</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Réduction de 40 % chez un constructeur majeur ; bullwhip (+60 % de commandes) ; HÉLIOS-1 officiellement décalé.</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T14</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2021-10</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P4</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Congestion côte ouest (100+ navires) ; majorations +25 % ; HÉLIOS-1 livré avec environ six semaines de glissement.</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T15</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2021-11</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P4</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Délais au plafond ; Meridian complet jusqu'à mi-2023 ; placebo SilPure (récit de stabilisation).</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T16</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2021-12</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P4</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Polysilicium ×3 répercuté (+18 %) ; échéance HÉLIOS-2 ; HÉLIOS re-planifié à la semaine 19.</w:t>
            </w:r>
          </w:p>
        </w:tc>
      </w:tr>
      <w:tr>
        <w:tc>
          <w:tcPr>
            <w:tcW w:type="dxa" w:w="900"/>
            <w:shd w:fill="EDF3F9" w:val="clear"/>
            <w:tcMar>
              <w:top w:type="dxa" w:w="50"/>
              <w:left w:type="dxa" w:w="90"/>
              <w:bottom w:type="dxa" w:w="50"/>
              <w:right w:type="dxa" w:w="90"/>
            </w:tcMar>
            <w:vAlign w:val="center"/>
          </w:tcPr>
          <w:p>
            <w:pPr>
              <w:spacing w:after="20"/>
              <w:jc w:val="left"/>
            </w:pPr>
            <w:r>
              <w:rPr>
                <w:color w:val="1F3050"/>
                <w:sz w:val="17"/>
                <w:szCs w:val="17"/>
              </w:rPr>
              <w:t xml:space="preserve">T17</w:t>
            </w:r>
          </w:p>
        </w:tc>
        <w:tc>
          <w:tcPr>
            <w:tcW w:type="dxa" w:w="1500"/>
            <w:shd w:fill="EDF3F9" w:val="clear"/>
            <w:tcMar>
              <w:top w:type="dxa" w:w="50"/>
              <w:left w:type="dxa" w:w="90"/>
              <w:bottom w:type="dxa" w:w="50"/>
              <w:right w:type="dxa" w:w="90"/>
            </w:tcMar>
            <w:vAlign w:val="center"/>
          </w:tcPr>
          <w:p>
            <w:pPr>
              <w:spacing w:after="20"/>
              <w:jc w:val="left"/>
            </w:pPr>
            <w:r>
              <w:rPr>
                <w:color w:val="1F3050"/>
                <w:sz w:val="17"/>
                <w:szCs w:val="17"/>
              </w:rPr>
              <w:t xml:space="preserve">2022-01</w:t>
            </w:r>
          </w:p>
        </w:tc>
        <w:tc>
          <w:tcPr>
            <w:tcW w:type="dxa" w:w="1300"/>
            <w:shd w:fill="EDF3F9" w:val="clear"/>
            <w:tcMar>
              <w:top w:type="dxa" w:w="50"/>
              <w:left w:type="dxa" w:w="90"/>
              <w:bottom w:type="dxa" w:w="50"/>
              <w:right w:type="dxa" w:w="90"/>
            </w:tcMar>
            <w:vAlign w:val="center"/>
          </w:tcPr>
          <w:p>
            <w:pPr>
              <w:spacing w:after="20"/>
              <w:jc w:val="left"/>
            </w:pPr>
            <w:r>
              <w:rPr>
                <w:color w:val="1F3050"/>
                <w:sz w:val="17"/>
                <w:szCs w:val="17"/>
              </w:rPr>
              <w:t xml:space="preserve">P5</w:t>
            </w:r>
          </w:p>
        </w:tc>
        <w:tc>
          <w:tcPr>
            <w:tcW w:type="dxa" w:w="5326"/>
            <w:shd w:fill="EDF3F9" w:val="clear"/>
            <w:tcMar>
              <w:top w:type="dxa" w:w="50"/>
              <w:left w:type="dxa" w:w="90"/>
              <w:bottom w:type="dxa" w:w="50"/>
              <w:right w:type="dxa" w:w="90"/>
            </w:tcMar>
            <w:vAlign w:val="center"/>
          </w:tcPr>
          <w:p>
            <w:pPr>
              <w:spacing w:after="20"/>
              <w:jc w:val="left"/>
            </w:pPr>
            <w:r>
              <w:rPr>
                <w:color w:val="1F3050"/>
                <w:sz w:val="17"/>
                <w:szCs w:val="17"/>
              </w:rPr>
              <w:t xml:space="preserve">Détente grand public ; premières annulations de commandes de précaution.</w:t>
            </w:r>
          </w:p>
        </w:tc>
      </w:tr>
      <w:tr>
        <w:tc>
          <w:tcPr>
            <w:tcW w:type="dxa" w:w="900"/>
            <w:tcMar>
              <w:top w:type="dxa" w:w="50"/>
              <w:left w:type="dxa" w:w="90"/>
              <w:bottom w:type="dxa" w:w="50"/>
              <w:right w:type="dxa" w:w="90"/>
            </w:tcMar>
            <w:vAlign w:val="center"/>
          </w:tcPr>
          <w:p>
            <w:pPr>
              <w:spacing w:after="20"/>
              <w:jc w:val="left"/>
            </w:pPr>
            <w:r>
              <w:rPr>
                <w:color w:val="1F3050"/>
                <w:sz w:val="17"/>
                <w:szCs w:val="17"/>
              </w:rPr>
              <w:t xml:space="preserve">T18</w:t>
            </w:r>
          </w:p>
        </w:tc>
        <w:tc>
          <w:tcPr>
            <w:tcW w:type="dxa" w:w="1500"/>
            <w:tcMar>
              <w:top w:type="dxa" w:w="50"/>
              <w:left w:type="dxa" w:w="90"/>
              <w:bottom w:type="dxa" w:w="50"/>
              <w:right w:type="dxa" w:w="90"/>
            </w:tcMar>
            <w:vAlign w:val="center"/>
          </w:tcPr>
          <w:p>
            <w:pPr>
              <w:spacing w:after="20"/>
              <w:jc w:val="left"/>
            </w:pPr>
            <w:r>
              <w:rPr>
                <w:color w:val="1F3050"/>
                <w:sz w:val="17"/>
                <w:szCs w:val="17"/>
              </w:rPr>
              <w:t xml:space="preserve">2022-02</w:t>
            </w:r>
          </w:p>
        </w:tc>
        <w:tc>
          <w:tcPr>
            <w:tcW w:type="dxa" w:w="1300"/>
            <w:tcMar>
              <w:top w:type="dxa" w:w="50"/>
              <w:left w:type="dxa" w:w="90"/>
              <w:bottom w:type="dxa" w:w="50"/>
              <w:right w:type="dxa" w:w="90"/>
            </w:tcMar>
            <w:vAlign w:val="center"/>
          </w:tcPr>
          <w:p>
            <w:pPr>
              <w:spacing w:after="20"/>
              <w:jc w:val="left"/>
            </w:pPr>
            <w:r>
              <w:rPr>
                <w:color w:val="1F3050"/>
                <w:sz w:val="17"/>
                <w:szCs w:val="17"/>
              </w:rPr>
              <w:t xml:space="preserve">P5</w:t>
            </w:r>
          </w:p>
        </w:tc>
        <w:tc>
          <w:tcPr>
            <w:tcW w:type="dxa" w:w="5326"/>
            <w:tcMar>
              <w:top w:type="dxa" w:w="50"/>
              <w:left w:type="dxa" w:w="90"/>
              <w:bottom w:type="dxa" w:w="50"/>
              <w:right w:type="dxa" w:w="90"/>
            </w:tcMar>
            <w:vAlign w:val="center"/>
          </w:tcPr>
          <w:p>
            <w:pPr>
              <w:spacing w:after="20"/>
              <w:jc w:val="left"/>
            </w:pPr>
            <w:r>
              <w:rPr>
                <w:color w:val="1F3050"/>
                <w:sz w:val="17"/>
                <w:szCs w:val="17"/>
              </w:rPr>
              <w:t xml:space="preserve">La détente se confirme lentement ; le carnet réel se dévoile ; HÉLIOS-2 tient son plan de rattrapage.</w:t>
            </w:r>
          </w:p>
        </w:tc>
      </w:tr>
    </w:tbl>
    <w:p>
      <w:pPr>
        <w:spacing w:after="160"/>
      </w:pPr>
    </w:p>
    <w:p>
      <w:pPr>
        <w:spacing w:after="120" w:line="276"/>
        <w:jc w:val="both"/>
      </w:pPr>
      <w:r>
        <w:t xml:space="preserve">Ancrages documentaires consignés dans scenario.py (SOURCES) : chronologie Wikipedia « 2020-2023 global chip shortage » et S&amp;P Global Automotive Insights (juillet 2023) ; délais Broadcom 12.2 semaines (février 2020) vers 22.2 semaines (avril 2021) ; arrêt des fabs d'Austin (Samsung, NXP, Infineon), février 2021, environ un mois de redémarrage ; incendie Renesas Naka, mars 2021, environ cent jours de retour au niveau pré-incendie ; sécheresse de Taïwan 2021 (rationnement, camions-citernes) ; Ever Given, canal de Suez, mars 2021, six jours de blocage ; confinements de Malaisie, été 2021 (backend assembly/test) ; Toyota, réduction d'environ 40 % de la production, septembre 2021, et arrêts GM ; congestion Los Angeles/Long Beach, octobre-novembre 2021, plus de cent navires ; flambée du polysilicium en 2021 (×3 sur l'année) ; GlobalFoundries à capacité vendue jusqu'à mi-2023 (annonces 2021) ; WorldRiskIndex 2021 ; Worldwide Governance Indicators de la Banque mondiale.</w:t>
      </w:r>
    </w:p>
    <w:p>
      <w:pPr>
        <w:pStyle w:val="Heading1"/>
        <w:pageBreakBefore/>
        <w:spacing w:after="180" w:before="240"/>
      </w:pPr>
      <w:r>
        <w:t xml:space="preserve">Annexe B. Exemple de fiche consultant : NovaFab, tour 6 (gel Texas)</w:t>
      </w:r>
    </w:p>
    <w:p>
      <w:pPr>
        <w:spacing w:after="120" w:line="276"/>
        <w:jc w:val="both"/>
      </w:pPr>
      <w:r>
        <w:t xml:space="preserve">Reproduction fidèle de briefings/tour_06/novafab.md, telle que distribuée. On notera l'application de la règle HC9 : les faits sont bruts, aucun adjectif d'intensité hors presse, et la consigne rappelle qu'il n'y a pas de bonne réponse.</w:t>
      </w:r>
    </w:p>
    <w:tbl>
      <w:tblPr>
        <w:tblW w:type="dxa" w:w="9026"/>
        <w:tblBorders>
          <w:top w:val="single" w:color="C8862A" w:sz="8"/>
          <w:left w:val="single" w:color="C8862A" w:sz="8"/>
          <w:bottom w:val="single" w:color="C8862A" w:sz="8"/>
          <w:right w:val="single" w:color="C8862A" w:sz="8"/>
          <w:insideH w:val="none" w:color="FFFFFF" w:sz="0"/>
          <w:insideV w:val="none" w:color="FFFFFF" w:sz="0"/>
        </w:tblBorders>
      </w:tblPr>
      <w:tblGrid>
        <w:gridCol w:w="9026"/>
      </w:tblGrid>
      <w:tr>
        <w:tc>
          <w:tcPr>
            <w:tcW w:type="dxa" w:w="9026"/>
            <w:shd w:fill="FBF3E4" w:val="clear"/>
            <w:tcMar>
              <w:top w:type="dxa" w:w="120"/>
              <w:left w:type="dxa" w:w="160"/>
              <w:bottom w:type="dxa" w:w="60"/>
              <w:right w:type="dxa" w:w="160"/>
            </w:tcMar>
          </w:tcPr>
          <w:p>
            <w:pPr>
              <w:spacing w:after="120" w:line="276"/>
              <w:jc w:val="both"/>
            </w:pPr>
            <w:r>
              <w:rPr>
                <w:b/>
                <w:bCs/>
                <w:sz w:val="24"/>
                <w:szCs w:val="24"/>
              </w:rPr>
              <w:t xml:space="preserve">Tour 6 : NovaFab Semiconductors</w:t>
            </w:r>
          </w:p>
          <w:p>
            <w:pPr>
              <w:spacing w:after="120" w:line="276"/>
              <w:jc w:val="both"/>
            </w:pPr>
            <w:r>
              <w:rPr>
                <w:i/>
                <w:iCs/>
              </w:rPr>
              <w:t xml:space="preserve">Vous êtes le/la responsable supply chain de NovaFab Semiconductors (Taishan (île d'Asie de l'Est) + fab Texas). Vos clients : CompoDis Europe. Vos fournisseurs : SilPure Materials.</w:t>
            </w:r>
          </w:p>
          <w:p>
            <w:pPr>
              <w:spacing w:after="120" w:line="276"/>
              <w:jc w:val="both"/>
            </w:pPr>
            <w:r>
              <w:rPr>
                <w:b/>
                <w:bCs/>
              </w:rPr>
              <w:t xml:space="preserve">Revue de presse du secteur. </w:t>
            </w:r>
            <w:r>
              <w:t xml:space="preserve">Une tempête hivernale exceptionnelle paralyse le Texas : réseau électrique effondré, plusieurs usines de semi-conducteurs arrêtées à chaud.</w:t>
            </w:r>
          </w:p>
          <w:p>
            <w:pPr>
              <w:spacing w:after="120" w:line="276"/>
              <w:jc w:val="both"/>
            </w:pPr>
            <w:r>
              <w:rPr>
                <w:b/>
                <w:bCs/>
              </w:rPr>
              <w:t xml:space="preserve">Vos constats internes. </w:t>
            </w:r>
            <w:r>
              <w:t xml:space="preserve">Fab texane à l'arrêt. Plan de redémarrage : 4 semaines. Réallocation partielle sur le site principal.</w:t>
            </w:r>
          </w:p>
          <w:p>
            <w:pPr>
              <w:spacing w:after="120" w:line="276"/>
              <w:jc w:val="both"/>
            </w:pPr>
            <w:r>
              <w:rPr>
                <w:b/>
                <w:bCs/>
              </w:rPr>
              <w:t xml:space="preserve">Vos indicateurs (jusqu'au tour courant). </w:t>
            </w:r>
            <w:r>
              <w:t xml:space="preserve">Indice de demande client (base 100) : T2 108.2 ; T4 111.2 ; T5 111.5 ; T6 108.6.</w:t>
            </w:r>
          </w:p>
          <w:p>
            <w:pPr>
              <w:spacing w:after="120" w:line="276"/>
              <w:jc w:val="both"/>
            </w:pPr>
            <w:r>
              <w:rPr>
                <w:b/>
                <w:bCs/>
              </w:rPr>
              <w:t xml:space="preserve">Vos jalons. </w:t>
            </w:r>
            <w:r>
              <w:t xml:space="preserve">Allocation wafers HÉLIOS : avancement 70 % (en cours). Allocation wafers HÉLIOS S2 : avancement 0 % (en cours).</w:t>
            </w:r>
          </w:p>
          <w:p>
            <w:pPr>
              <w:spacing w:after="120" w:line="276"/>
              <w:jc w:val="both"/>
            </w:pPr>
            <w:r>
              <w:rPr>
                <w:b/>
                <w:bCs/>
              </w:rPr>
              <w:t xml:space="preserve">À faire maintenant (10 min max). </w:t>
            </w:r>
            <w:r>
              <w:t xml:space="preserve">Remplissez le questionnaire hebdomadaire (volet AHP) dans l'outil, en comparant les 4 critères pour VOTRE périmètre : impact opérationnel (si ma tâche échoue, quelle conséquence en aval ?), fenêtre temporelle (combien de temps avant que ce soit irrattrapable ?), dépendances aval (combien d'acteurs attendent après moi ?), récupérabilité (peut-on rattraper un retard ?). Rappels : ne consultez que cette fiche et la page questionnaire ; pas de concertation avec les autres rôles ; il n'y a pas de « bonne réponse » : déclarez ce que VOUS percevez.</w:t>
            </w:r>
          </w:p>
        </w:tc>
      </w:tr>
    </w:tbl>
    <w:p>
      <w:pPr>
        <w:spacing w:after="160"/>
      </w:pPr>
    </w:p>
    <w:p>
      <w:pPr>
        <w:pStyle w:val="Heading1"/>
        <w:pageBreakBefore/>
        <w:spacing w:after="180" w:before="240"/>
      </w:pPr>
      <w:r>
        <w:t xml:space="preserve">Annexe C. Exemple de carte de rôle : NovaFab (C6)</w:t>
      </w:r>
    </w:p>
    <w:p>
      <w:pPr>
        <w:spacing w:after="120" w:line="276"/>
        <w:jc w:val="both"/>
      </w:pPr>
      <w:r>
        <w:t xml:space="preserve">Reproduction fidèle de briefings/cartes_de_role/novafab.md, remise au kickoff J5.</w:t>
      </w:r>
    </w:p>
    <w:tbl>
      <w:tblPr>
        <w:tblW w:type="dxa" w:w="9026"/>
        <w:tblBorders>
          <w:top w:val="single" w:color="C8862A" w:sz="8"/>
          <w:left w:val="single" w:color="C8862A" w:sz="8"/>
          <w:bottom w:val="single" w:color="C8862A" w:sz="8"/>
          <w:right w:val="single" w:color="C8862A" w:sz="8"/>
          <w:insideH w:val="none" w:color="FFFFFF" w:sz="0"/>
          <w:insideV w:val="none" w:color="FFFFFF" w:sz="0"/>
        </w:tblBorders>
      </w:tblPr>
      <w:tblGrid>
        <w:gridCol w:w="9026"/>
      </w:tblGrid>
      <w:tr>
        <w:tc>
          <w:tcPr>
            <w:tcW w:type="dxa" w:w="9026"/>
            <w:shd w:fill="FBF3E4" w:val="clear"/>
            <w:tcMar>
              <w:top w:type="dxa" w:w="120"/>
              <w:left w:type="dxa" w:w="160"/>
              <w:bottom w:type="dxa" w:w="60"/>
              <w:right w:type="dxa" w:w="160"/>
            </w:tcMar>
          </w:tcPr>
          <w:p>
            <w:pPr>
              <w:spacing w:after="120" w:line="276"/>
              <w:jc w:val="both"/>
            </w:pPr>
            <w:r>
              <w:rPr>
                <w:b/>
                <w:bCs/>
                <w:sz w:val="24"/>
                <w:szCs w:val="24"/>
              </w:rPr>
              <w:t xml:space="preserve">Carte de rôle : NovaFab Semiconductors (C6)</w:t>
            </w:r>
          </w:p>
          <w:p>
            <w:pPr>
              <w:spacing w:after="120" w:line="276"/>
              <w:jc w:val="both"/>
            </w:pPr>
            <w:r>
              <w:t xml:space="preserve">Vous êtes le/la responsable supply chain de NovaFab Semiconductors, Taishan (île d'Asie de l'Est) + fab Texas. Livraison de 2 satellites d'observation (HÉLIOS-1, HÉLIOS-2) à un opérateur institutionnel européen. Échéances contractuelles aux tours T8 et T16, pénalités de retard lourdes. Vos clients directs : CompoDis Europe. Vos fournisseurs directs : SilPure Materials.</w:t>
            </w:r>
          </w:p>
          <w:p>
            <w:pPr>
              <w:spacing w:after="120" w:line="276"/>
              <w:jc w:val="both"/>
            </w:pPr>
            <w:r>
              <w:rPr>
                <w:b/>
                <w:bCs/>
              </w:rPr>
              <w:t xml:space="preserve">Votre entreprise, votre voix. </w:t>
            </w:r>
            <w:r>
              <w:t xml:space="preserve">Ton interne : corporate, posé, sûr de soi. Vous parlez en : capacité, wafers/mois, mix produit, allocation. Votre peur principale : sur-investir dans une capacité qui se retournera (cycle du silicium). Votre réflexe de crise : prioriser les marges, lisser la communication externe. Votre angle : asymétrie d'information : sait l'état réel du carnet, communique prudemment.</w:t>
            </w:r>
          </w:p>
          <w:p>
            <w:pPr>
              <w:spacing w:after="120" w:line="276"/>
              <w:jc w:val="both"/>
            </w:pPr>
            <w:r>
              <w:rPr>
                <w:i/>
                <w:iCs/>
              </w:rPr>
              <w:t xml:space="preserve">Ce persona vous aide à incarner le rôle : il décrit comment votre entreprise parle et ce qu'elle craint, jamais combien il faut s'inquiéter à un tour donné. Ça, c'est VOTRE jugement.</w:t>
            </w:r>
          </w:p>
          <w:p>
            <w:pPr>
              <w:spacing w:after="120" w:line="276"/>
              <w:jc w:val="both"/>
            </w:pPr>
            <w:r>
              <w:rPr>
                <w:b/>
                <w:bCs/>
              </w:rPr>
              <w:t xml:space="preserve">Les règles du jeu. </w:t>
            </w:r>
            <w:r>
              <w:t xml:space="preserve">1. Deux tours par jour (matin et fin de journée), environ 10 minutes chacun. 2. À chaque tour : lisez votre fiche, remplissez le volet AHP dans l'outil. 3. Vous ne voyez QUE votre fiche, pas celles des autres rôles. 4. Pas de concertation entre rôles pendant la campagne. 5. Ne consultez pas le tableau de bord ni les scores : uniquement la page questionnaire. 6. Il n'y a pas de bonne réponse : déclarez votre perception, pas ce que vous croyez attendu.</w:t>
            </w:r>
          </w:p>
        </w:tc>
      </w:tr>
    </w:tbl>
    <w:p>
      <w:pPr>
        <w:spacing w:after="160"/>
      </w:pPr>
    </w:p>
    <w:p>
      <w:pPr>
        <w:pStyle w:val="Heading1"/>
        <w:pageBreakBefore/>
        <w:spacing w:after="180" w:before="240"/>
      </w:pPr>
      <w:r>
        <w:t xml:space="preserve">Annexe D. Livrables et emplacement des artefacts</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3500"/>
        <w:gridCol w:w="5526"/>
      </w:tblGrid>
      <w:tr>
        <w:trPr>
          <w:tblHeader/>
        </w:trPr>
        <w:tc>
          <w:tcPr>
            <w:tcW w:type="dxa" w:w="3500"/>
            <w:shd w:fill="0072BC" w:val="clear"/>
            <w:tcMar>
              <w:top w:type="dxa" w:w="50"/>
              <w:left w:type="dxa" w:w="90"/>
              <w:bottom w:type="dxa" w:w="50"/>
              <w:right w:type="dxa" w:w="90"/>
            </w:tcMar>
            <w:vAlign w:val="center"/>
          </w:tcPr>
          <w:p>
            <w:pPr>
              <w:spacing w:after="20"/>
              <w:jc w:val="left"/>
            </w:pPr>
            <w:r>
              <w:rPr>
                <w:b/>
                <w:bCs/>
                <w:color w:val="FFFFFF"/>
                <w:sz w:val="17"/>
                <w:szCs w:val="17"/>
              </w:rPr>
              <w:t xml:space="preserve">Artefact</w:t>
            </w:r>
          </w:p>
        </w:tc>
        <w:tc>
          <w:tcPr>
            <w:tcW w:type="dxa" w:w="5526"/>
            <w:shd w:fill="0072BC" w:val="clear"/>
            <w:tcMar>
              <w:top w:type="dxa" w:w="50"/>
              <w:left w:type="dxa" w:w="90"/>
              <w:bottom w:type="dxa" w:w="50"/>
              <w:right w:type="dxa" w:w="90"/>
            </w:tcMar>
            <w:vAlign w:val="center"/>
          </w:tcPr>
          <w:p>
            <w:pPr>
              <w:spacing w:after="20"/>
              <w:jc w:val="left"/>
            </w:pPr>
            <w:r>
              <w:rPr>
                <w:b/>
                <w:bCs/>
                <w:color w:val="FFFFFF"/>
                <w:sz w:val="17"/>
                <w:szCs w:val="17"/>
              </w:rPr>
              <w:t xml:space="preserve">Emplacement (dépôt AZURE)</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Protocole gelé (manuel d'opération)</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projects/simu_semiconducteurs/PROTOCOLE.md</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Narration maître (interne)</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projects/simu_semiconducteurs/scenario/narration.md</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Source de vérité du scénario</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projects/simu_semiconducteurs/scenario/scenario.py</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Plan initial (trace du cadrage)</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docs/protocole_validation_semiconducteurs.md</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Données brutes + provenance</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projects/simu_semiconducteurs/data/raw/ (MANIFEST.md)</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Pack gelé par tour</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projects/simu_semiconducteurs/data/prepared/ (HASHES.sha256)</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Scripts d'exploitation</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projects/simu_semiconducteurs/scripts/ (6 scripts + _common.py)</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Fiches et cartes de rôle générées</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projects/simu_semiconducteurs/briefings/ (19 tours + placebos + cartes)</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Snapshots par tour</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projects/simu_semiconducteurs/analysis/snapshots/tour_00.json à tour_18.json</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Chaîne d'analyse pré-enregistrée</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projects/simu_semiconducteurs/analysis/analyse_campagne.py</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Résultats du rejeu (CSV + rapport)</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projects/simu_semiconducteurs/analysis/resultats.csv et rapport.md</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Base de campagne (hors dépôt)</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%LOCALAPPDATA%\SupplyScore\simu_semiconducteurs\ (+ backups/)</w:t>
            </w:r>
          </w:p>
        </w:tc>
      </w:tr>
      <w:tr>
        <w:tc>
          <w:tcPr>
            <w:tcW w:type="dxa" w:w="3500"/>
            <w:tcMar>
              <w:top w:type="dxa" w:w="50"/>
              <w:left w:type="dxa" w:w="90"/>
              <w:bottom w:type="dxa" w:w="50"/>
              <w:right w:type="dxa" w:w="90"/>
            </w:tcMar>
            <w:vAlign w:val="center"/>
          </w:tcPr>
          <w:p>
            <w:pPr>
              <w:spacing w:after="20"/>
              <w:jc w:val="left"/>
            </w:pPr>
            <w:r>
              <w:rPr>
                <w:color w:val="1F3050"/>
                <w:sz w:val="17"/>
                <w:szCs w:val="17"/>
              </w:rPr>
              <w:t xml:space="preserve">Journal de campagne (à tenir)</w:t>
            </w:r>
          </w:p>
        </w:tc>
        <w:tc>
          <w:tcPr>
            <w:tcW w:type="dxa" w:w="5526"/>
            <w:tcMar>
              <w:top w:type="dxa" w:w="50"/>
              <w:left w:type="dxa" w:w="90"/>
              <w:bottom w:type="dxa" w:w="50"/>
              <w:right w:type="dxa" w:w="90"/>
            </w:tcMar>
            <w:vAlign w:val="center"/>
          </w:tcPr>
          <w:p>
            <w:pPr>
              <w:spacing w:after="20"/>
              <w:jc w:val="left"/>
            </w:pPr>
            <w:r>
              <w:rPr>
                <w:color w:val="1F3050"/>
                <w:sz w:val="17"/>
                <w:szCs w:val="17"/>
              </w:rPr>
              <w:t xml:space="preserve">JOURNAL.md (manuel, à partir du kickoff)</w:t>
            </w:r>
          </w:p>
        </w:tc>
      </w:tr>
      <w:tr>
        <w:tc>
          <w:tcPr>
            <w:tcW w:type="dxa" w:w="3500"/>
            <w:shd w:fill="EDF3F9" w:val="clear"/>
            <w:tcMar>
              <w:top w:type="dxa" w:w="50"/>
              <w:left w:type="dxa" w:w="90"/>
              <w:bottom w:type="dxa" w:w="50"/>
              <w:right w:type="dxa" w:w="90"/>
            </w:tcMar>
            <w:vAlign w:val="center"/>
          </w:tcPr>
          <w:p>
            <w:pPr>
              <w:spacing w:after="20"/>
              <w:jc w:val="left"/>
            </w:pPr>
            <w:r>
              <w:rPr>
                <w:color w:val="1F3050"/>
                <w:sz w:val="17"/>
                <w:szCs w:val="17"/>
              </w:rPr>
              <w:t xml:space="preserve">Section BST à compléter</w:t>
            </w:r>
          </w:p>
        </w:tc>
        <w:tc>
          <w:tcPr>
            <w:tcW w:type="dxa" w:w="5526"/>
            <w:shd w:fill="EDF3F9" w:val="clear"/>
            <w:tcMar>
              <w:top w:type="dxa" w:w="50"/>
              <w:left w:type="dxa" w:w="90"/>
              <w:bottom w:type="dxa" w:w="50"/>
              <w:right w:type="dxa" w:w="90"/>
            </w:tcMar>
            <w:vAlign w:val="center"/>
          </w:tcPr>
          <w:p>
            <w:pPr>
              <w:spacing w:after="20"/>
              <w:jc w:val="left"/>
            </w:pPr>
            <w:r>
              <w:rPr>
                <w:color w:val="1F3050"/>
                <w:sz w:val="17"/>
                <w:szCs w:val="17"/>
              </w:rPr>
              <w:t xml:space="preserve">docs/BST_DISCO_JH_2026/Sections/4.Operations.tex (sec:serious_game)</w:t>
            </w:r>
          </w:p>
        </w:tc>
      </w:tr>
    </w:tbl>
    <w:p>
      <w:pPr>
        <w:spacing w:after="160"/>
      </w:pPr>
    </w:p>
    <w:p>
      <w:pPr>
        <w:pStyle w:val="Heading1"/>
        <w:pageBreakBefore/>
        <w:spacing w:after="180" w:before="240"/>
      </w:pPr>
      <w:r>
        <w:t xml:space="preserve">Annexe E. Glossaire</w:t>
      </w:r>
    </w:p>
    <w:tbl>
      <w:tblPr>
        <w:tblW w:type="dxa" w:w="9026"/>
        <w:tblBorders>
          <w:top w:val="single" w:color="8C97A6" w:sz="4"/>
          <w:left w:val="single" w:color="8C97A6" w:sz="4"/>
          <w:bottom w:val="single" w:color="8C97A6" w:sz="4"/>
          <w:right w:val="single" w:color="8C97A6" w:sz="4"/>
          <w:insideH w:val="single" w:color="8C97A6" w:sz="4"/>
          <w:insideV w:val="single" w:color="8C97A6" w:sz="4"/>
        </w:tblBorders>
      </w:tblPr>
      <w:tblGrid>
        <w:gridCol w:w="2300"/>
        <w:gridCol w:w="6726"/>
      </w:tblGrid>
      <w:tr>
        <w:trPr>
          <w:tblHeader/>
        </w:trPr>
        <w:tc>
          <w:tcPr>
            <w:tcW w:type="dxa" w:w="2300"/>
            <w:shd w:fill="0072BC" w:val="clear"/>
            <w:tcMar>
              <w:top w:type="dxa" w:w="50"/>
              <w:left w:type="dxa" w:w="90"/>
              <w:bottom w:type="dxa" w:w="50"/>
              <w:right w:type="dxa" w:w="90"/>
            </w:tcMar>
            <w:vAlign w:val="center"/>
          </w:tcPr>
          <w:p>
            <w:pPr>
              <w:spacing w:after="20"/>
              <w:jc w:val="left"/>
            </w:pPr>
            <w:r>
              <w:rPr>
                <w:b/>
                <w:bCs/>
                <w:color w:val="FFFFFF"/>
                <w:sz w:val="17"/>
                <w:szCs w:val="17"/>
              </w:rPr>
              <w:t xml:space="preserve">Terme</w:t>
            </w:r>
          </w:p>
        </w:tc>
        <w:tc>
          <w:tcPr>
            <w:tcW w:type="dxa" w:w="6726"/>
            <w:shd w:fill="0072BC" w:val="clear"/>
            <w:tcMar>
              <w:top w:type="dxa" w:w="50"/>
              <w:left w:type="dxa" w:w="90"/>
              <w:bottom w:type="dxa" w:w="50"/>
              <w:right w:type="dxa" w:w="90"/>
            </w:tcMar>
            <w:vAlign w:val="center"/>
          </w:tcPr>
          <w:p>
            <w:pPr>
              <w:spacing w:after="20"/>
              <w:jc w:val="left"/>
            </w:pPr>
            <w:r>
              <w:rPr>
                <w:b/>
                <w:bCs/>
                <w:color w:val="FFFFFF"/>
                <w:sz w:val="17"/>
                <w:szCs w:val="17"/>
              </w:rPr>
              <w:t xml:space="preserve">Définition</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Ud / Ud_local</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Urgence déclarée d'un nœud, issue du questionnaire AHP (locale), puis propagée en descendant avec atténuation γ.</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Ur / Ur_local</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Urgence réelle d'un nœud, agrégée de six blocs de KPIs (locale), puis propagée en montant avec amplification β.</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A</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Score d'adéquation entre Ud et Ur, sur [0, 100], à pénalité asymétrique (λ_under = 2.25, λ_over = 1.0, α = 0.88).</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F</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Fausse urgence [Ud − Ur]+ : sur-déclaration, panique injustifiée.</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H</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Risque caché [Ur − Ud]+ : sous-déclaration, danger invisible ; signal central des hypothèses HA2 et HA4.</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AHP / CR</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Analytic Hierarchy Process (Saaty) ; CR est le ratio de cohérence des jugements, seuil d'acceptation CR &lt; 0.10.</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OU probabiliste</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Agrégation 1 − Π(1 − u_m)^ω_m : un seul facteur saturé suffit à saturer le résultat.</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DAG</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Graphe orienté acyclique : structure imposée du réseau logistique.</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γ, β</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Coefficients d'arc : atténuation du besoin descendant (γ), amplification du risque montant (β).</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delta_ur_final</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Indice de criticité d'un nœud : hausse du Ur du client final si ce nœud subissait le pire choc local (Ur_local = 1).</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Tour saturé</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Tour où max(delta_ur_final) = 0 sur tout le réseau : l'indice de criticité dégénère, tour exclu du test HA3.</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Bullwhip</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Amplification des commandes en remontant la chaîne (sur-commandes de précaution), rejouée à T13.</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WSTS</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World Semiconductor Trade Statistics : facturations mondiales mensuelles, série de référence du secteur.</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IPI / IPP / TUC</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Indices INSEE : production industrielle, prix de production, taux d'utilisation des capacités.</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Placebo (HC4)</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Fiche à continuation alternative plausible mesurant la suggestibilité : si le Ud suit le placebo, la mesure reflète la donnée fournie.</w:t>
            </w:r>
          </w:p>
        </w:tc>
      </w:tr>
      <w:tr>
        <w:tc>
          <w:tcPr>
            <w:tcW w:type="dxa" w:w="2300"/>
            <w:shd w:fill="EDF3F9" w:val="clear"/>
            <w:tcMar>
              <w:top w:type="dxa" w:w="50"/>
              <w:left w:type="dxa" w:w="90"/>
              <w:bottom w:type="dxa" w:w="50"/>
              <w:right w:type="dxa" w:w="90"/>
            </w:tcMar>
            <w:vAlign w:val="center"/>
          </w:tcPr>
          <w:p>
            <w:pPr>
              <w:spacing w:after="20"/>
              <w:jc w:val="left"/>
            </w:pPr>
            <w:r>
              <w:rPr>
                <w:color w:val="1F3050"/>
                <w:sz w:val="17"/>
                <w:szCs w:val="17"/>
              </w:rPr>
              <w:t xml:space="preserve">Dry run</w:t>
            </w:r>
          </w:p>
        </w:tc>
        <w:tc>
          <w:tcPr>
            <w:tcW w:type="dxa" w:w="6726"/>
            <w:shd w:fill="EDF3F9" w:val="clear"/>
            <w:tcMar>
              <w:top w:type="dxa" w:w="50"/>
              <w:left w:type="dxa" w:w="90"/>
              <w:bottom w:type="dxa" w:w="50"/>
              <w:right w:type="dxa" w:w="90"/>
            </w:tcMar>
            <w:vAlign w:val="center"/>
          </w:tcPr>
          <w:p>
            <w:pPr>
              <w:spacing w:after="20"/>
              <w:jc w:val="left"/>
            </w:pPr>
            <w:r>
              <w:rPr>
                <w:color w:val="1F3050"/>
                <w:sz w:val="17"/>
                <w:szCs w:val="17"/>
              </w:rPr>
              <w:t xml:space="preserve">Rejeu complet sur base jetable avec répondants synthétiques : calibration et validation mécanique, jamais preuve des hypothèses.</w:t>
            </w:r>
          </w:p>
        </w:tc>
      </w:tr>
      <w:tr>
        <w:tc>
          <w:tcPr>
            <w:tcW w:type="dxa" w:w="2300"/>
            <w:tcMar>
              <w:top w:type="dxa" w:w="50"/>
              <w:left w:type="dxa" w:w="90"/>
              <w:bottom w:type="dxa" w:w="50"/>
              <w:right w:type="dxa" w:w="90"/>
            </w:tcMar>
            <w:vAlign w:val="center"/>
          </w:tcPr>
          <w:p>
            <w:pPr>
              <w:spacing w:after="20"/>
              <w:jc w:val="left"/>
            </w:pPr>
            <w:r>
              <w:rPr>
                <w:color w:val="1F3050"/>
                <w:sz w:val="17"/>
                <w:szCs w:val="17"/>
              </w:rPr>
              <w:t xml:space="preserve">Pré-enregistrement</w:t>
            </w:r>
          </w:p>
        </w:tc>
        <w:tc>
          <w:tcPr>
            <w:tcW w:type="dxa" w:w="6726"/>
            <w:tcMar>
              <w:top w:type="dxa" w:w="50"/>
              <w:left w:type="dxa" w:w="90"/>
              <w:bottom w:type="dxa" w:w="50"/>
              <w:right w:type="dxa" w:w="90"/>
            </w:tcMar>
            <w:vAlign w:val="center"/>
          </w:tcPr>
          <w:p>
            <w:pPr>
              <w:spacing w:after="20"/>
              <w:jc w:val="left"/>
            </w:pPr>
            <w:r>
              <w:rPr>
                <w:color w:val="1F3050"/>
                <w:sz w:val="17"/>
                <w:szCs w:val="17"/>
              </w:rPr>
              <w:t xml:space="preserve">Fixation des hypothèses, seuils et tests avant toute donnée ; gel du protocole à J5 ; écarts consignés en annexe.</w:t>
            </w:r>
          </w:p>
        </w:tc>
      </w:tr>
    </w:tbl>
    <w:p>
      <w:pPr>
        <w:spacing w:after="160"/>
      </w:pPr>
    </w:p>
    <w:p>
      <w:pPr>
        <w:spacing w:before="300"/>
        <w:jc w:val="center"/>
      </w:pPr>
      <w:r>
        <w:rPr>
          <w:i/>
          <w:iCs/>
          <w:color w:val="8C97A6"/>
          <w:sz w:val="18"/>
          <w:szCs w:val="18"/>
        </w:rPr>
        <w:t xml:space="preserve">Fin du dossier. Document généré depuis les artefacts du dépôt (protocole, scénario, manifeste de données, scripts, snapshots et rapport d'analyse) le 8 juillet 2026.</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97A6"/>
        <w:sz w:val="16"/>
        <w:szCs w:val="16"/>
      </w:rPr>
      <w:t xml:space="preserve">SupplyScore · crise des semi-conducteurs rejouée   |   page </w:t>
    </w:r>
    <w:r>
      <w:rPr>
        <w:color w:val="8C97A6"/>
        <w:sz w:val="16"/>
        <w:szCs w:val="16"/>
      </w:rPr>
      <w:fldChar w:fldCharType="begin"/>
      <w:instrText xml:space="preserve">PAGE</w:instrText>
      <w:fldChar w:fldCharType="separate"/>
      <w:fldChar w:fldCharType="end"/>
    </w:r>
    <w:r>
      <w:rPr>
        <w:color w:val="8C97A6"/>
        <w:sz w:val="16"/>
        <w:szCs w:val="16"/>
      </w:rPr>
      <w:t xml:space="preserve"> / </w:t>
    </w:r>
    <w:r>
      <w:rPr>
        <w:color w:val="8C97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97A6"/>
        <w:sz w:val="16"/>
        <w:szCs w:val="16"/>
      </w:rPr>
      <w:t xml:space="preserve">Campagne HÉLIOS : dossier d'expérimentation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20" w:hanging="22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30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pPr>
    <w:rPr>
      <w:rFonts w:ascii="Calibri" w:cs="Calibri" w:eastAsia="Calibri" w:hAnsi="Calibri"/>
      <w:b/>
      <w:bCs/>
      <w:color w:val="0072BC"/>
      <w:sz w:val="32"/>
      <w:szCs w:val="32"/>
    </w:rPr>
  </w:style>
  <w:style w:type="paragraph" w:styleId="Heading2">
    <w:name w:val="Heading 2"/>
    <w:basedOn w:val="Normal"/>
    <w:next w:val="Normal"/>
    <w:qFormat/>
    <w:pPr>
      <w:spacing w:after="130" w:before="240"/>
    </w:pPr>
    <w:rPr>
      <w:rFonts w:ascii="Calibri" w:cs="Calibri" w:eastAsia="Calibri" w:hAnsi="Calibri"/>
      <w:b/>
      <w:bCs/>
      <w:color w:val="005A96"/>
      <w:sz w:val="26"/>
      <w:szCs w:val="26"/>
    </w:rPr>
  </w:style>
  <w:style w:type="paragraph" w:styleId="Heading3">
    <w:name w:val="Heading 3"/>
    <w:basedOn w:val="Normal"/>
    <w:next w:val="Normal"/>
    <w:qFormat/>
    <w:pPr>
      <w:spacing w:after="110" w:before="200"/>
    </w:pPr>
    <w:rPr>
      <w:rFonts w:ascii="Calibri" w:cs="Calibri" w:eastAsia="Calibri" w:hAnsi="Calibri"/>
      <w:b/>
      <w:bCs/>
      <w:color w:val="1F30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d4a524a929e3ba3df49fc0e32498235de92fa1.png"/><Relationship Id="rId10" Type="http://schemas.openxmlformats.org/officeDocument/2006/relationships/image" Target="media/8d37fdda33a382d9537d1b3a12fe3051e9a97ae7.png"/><Relationship Id="rId11" Type="http://schemas.openxmlformats.org/officeDocument/2006/relationships/image" Target="media/722af50faf172933d5eb6a0e312381736baec974.png"/><Relationship Id="rId12" Type="http://schemas.openxmlformats.org/officeDocument/2006/relationships/image" Target="media/832318c1082a2875f954c7e8c07a3a98babe9a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HÉLIOS : dossier complet de la phase d'expérimentation</dc:title>
  <dc:creator>John Hoarau</dc:creator>
  <dc:description>Validation empirique du score d'adéquation Ud/Ur de SupplyScore sur la crise des semi-conducteurs 2020-2022 rejouée</dc:description>
  <cp:lastModifiedBy>Un-named</cp:lastModifiedBy>
  <cp:revision>1</cp:revision>
  <dcterms:created xsi:type="dcterms:W3CDTF">2026-07-15T12:41:45.400Z</dcterms:created>
  <dcterms:modified xsi:type="dcterms:W3CDTF">2026-07-15T12:41:45.402Z</dcterms:modified>
</cp:coreProperties>
</file>

<file path=docProps/custom.xml><?xml version="1.0" encoding="utf-8"?>
<Properties xmlns="http://schemas.openxmlformats.org/officeDocument/2006/custom-properties" xmlns:vt="http://schemas.openxmlformats.org/officeDocument/2006/docPropsVTypes"/>
</file>