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SupplyScore : préparation Q&amp;R</w:t>
      </w:r>
    </w:p>
    <w:p>
      <w:pPr>
        <w:spacing w:after="40"/>
      </w:pPr>
      <w:r>
        <w:rPr>
          <w:sz w:val="26"/>
          <w:szCs w:val="26"/>
        </w:rPr>
        <w:t xml:space="preserve">Réunion avec une doctorante en mathématiques appliquées (10 ans de R&amp;D)</w:t>
      </w:r>
    </w:p>
    <w:p>
      <w:pPr>
        <w:pBdr>
          <w:bottom w:val="single" w:color="2E5F75" w:sz="8" w:space="4"/>
        </w:pBdr>
        <w:spacing w:after="200"/>
      </w:pPr>
      <w:r>
        <w:rPr>
          <w:i/>
          <w:iCs/>
        </w:rPr>
        <w:t xml:space="preserve">Visio du 12 juin 2026, après 15 h. Questions probables et idées de réponse, à broder avec tes mots.</w:t>
      </w:r>
    </w:p>
    <w:p>
      <w:pPr>
        <w:pStyle w:val="Heading1"/>
      </w:pPr>
      <w:r>
        <w:t xml:space="preserve">Comment utiliser ce document</w:t>
      </w:r>
    </w:p>
    <w:p>
      <w:pPr>
        <w:pStyle w:val="ListParagraph"/>
        <w:numPr>
          <w:ilvl w:val="0"/>
          <w:numId w:val="2"/>
        </w:numPr>
        <w:spacing w:after="40"/>
      </w:pPr>
      <w:r>
        <w:t xml:space="preserve">Chaque question donne les idées clés en puces : des briques, pas un texte à réciter.</w:t>
      </w:r>
    </w:p>
    <w:p>
      <w:pPr>
        <w:pStyle w:val="ListParagraph"/>
        <w:numPr>
          <w:ilvl w:val="0"/>
          <w:numId w:val="2"/>
        </w:numPr>
        <w:spacing w:after="40"/>
      </w:pPr>
      <w:r>
        <w:rPr>
          <w:b/>
          <w:bCs/>
          <w:color w:val="C00000"/>
        </w:rPr>
        <w:t xml:space="preserve">[PIÈGE]</w:t>
      </w:r>
      <w:r>
        <w:t xml:space="preserve"> signale une attaque classique du domaine ; </w:t>
      </w:r>
      <w:r>
        <w:rPr>
          <w:b/>
          <w:bCs/>
          <w:color w:val="C00000"/>
        </w:rPr>
        <w:t xml:space="preserve">[TECHNIQUE]</w:t>
      </w:r>
      <w:r>
        <w:t xml:space="preserve"> une question où elle testera la profondeur ; </w:t>
      </w:r>
      <w:r>
        <w:rPr>
          <w:b/>
          <w:bCs/>
          <w:color w:val="C00000"/>
        </w:rPr>
        <w:t xml:space="preserve">[CENTRAL]</w:t>
      </w:r>
      <w:r>
        <w:t xml:space="preserve"> une question quasi certaine.</w:t>
      </w:r>
    </w:p>
    <w:p>
      <w:pPr>
        <w:pStyle w:val="ListParagraph"/>
        <w:numPr>
          <w:ilvl w:val="0"/>
          <w:numId w:val="2"/>
        </w:numPr>
        <w:spacing w:after="40"/>
      </w:pPr>
      <w:r>
        <w:t xml:space="preserve">Règle d'or transverse : pour chaque constante du modèle, toujours distinguer son statut : (a) mesurée par la littérature (λ = 2,25, α = 0,88), (b) standard du domaine (CR &lt; 0,10, table RI), (c) choix de gouvernance recalibrable (ρ, N₀, γ, β, κ). Ne jamais laisser croire qu'un (c) est un (a).</w:t>
      </w:r>
    </w:p>
    <w:p>
      <w:pPr>
        <w:pStyle w:val="ListParagraph"/>
        <w:numPr>
          <w:ilvl w:val="0"/>
          <w:numId w:val="2"/>
        </w:numPr>
        <w:spacing w:after="40"/>
      </w:pPr>
      <w:r>
        <w:t xml:space="preserve">Annexe A : les chiffres à avoir en tête. Annexe B : les limites à citer toi-même, avant elle.</w:t>
      </w:r>
    </w:p>
    <w:p>
      <w:pPr>
        <w:pStyle w:val="Heading1"/>
      </w:pPr>
      <w:r>
        <w:t xml:space="preserve">Stratégie d'entretien</w:t>
      </w:r>
    </w:p>
    <w:p>
      <w:pPr>
        <w:pStyle w:val="Heading2"/>
      </w:pPr>
      <w:r>
        <w:t xml:space="preserve">Les cinq réflexes avant de répondre</w:t>
      </w:r>
    </w:p>
    <w:p>
      <w:pPr>
        <w:pStyle w:val="ListParagraph"/>
        <w:numPr>
          <w:ilvl w:val="0"/>
          <w:numId w:val="2"/>
        </w:numPr>
        <w:spacing w:after="40"/>
      </w:pPr>
      <w:r>
        <w:t xml:space="preserve">Ne jamais survendre. Vocabulaire : « score d'aide à la décision », « rendre visible un désalignement », jamais « prédire les ruptures ». Elle teste la lucidité, pas la perfection.</w:t>
      </w:r>
    </w:p>
    <w:p>
      <w:pPr>
        <w:pStyle w:val="ListParagraph"/>
        <w:numPr>
          <w:ilvl w:val="0"/>
          <w:numId w:val="2"/>
        </w:numPr>
        <w:spacing w:after="40"/>
      </w:pPr>
      <w:r>
        <w:t xml:space="preserve">Admettre les limites avant elle. La spec contient une section « Limites honnêtes » écrite noir sur blanc : citer ses propres limites est la meilleure défense (Annexe B).</w:t>
      </w:r>
    </w:p>
    <w:p>
      <w:pPr>
        <w:pStyle w:val="ListParagraph"/>
        <w:numPr>
          <w:ilvl w:val="0"/>
          <w:numId w:val="2"/>
        </w:numPr>
        <w:spacing w:after="40"/>
      </w:pPr>
      <w:r>
        <w:t xml:space="preserve">Donner le statut de chaque constante (mesurée / standard / gouvernance, cf. règle d'or ci-dessus).</w:t>
      </w:r>
    </w:p>
    <w:p>
      <w:pPr>
        <w:pStyle w:val="ListParagraph"/>
        <w:numPr>
          <w:ilvl w:val="0"/>
          <w:numId w:val="2"/>
        </w:numPr>
        <w:spacing w:after="40"/>
      </w:pPr>
      <w:r>
        <w:t xml:space="preserve">Ramener au différenciateur : la confrontation déclaré/réel (Ud vs Ur). Ni la littérature ripple, ni Everstream/Resilinc/Interos ne mesurent cet écart. C'est TA case vide.</w:t>
      </w:r>
    </w:p>
    <w:p>
      <w:pPr>
        <w:pStyle w:val="ListParagraph"/>
        <w:numPr>
          <w:ilvl w:val="0"/>
          <w:numId w:val="2"/>
        </w:numPr>
        <w:spacing w:after="40"/>
      </w:pPr>
      <w:r>
        <w:t xml:space="preserve">Quand elle a raison : le dire. « Bonne objection, c'est exactement ce que le serious game doit trancher » est une réponse forte, pas une défaite. Noter ses suggestions, c'est peut-être une future collaboration.</w:t>
      </w:r>
    </w:p>
    <w:p>
      <w:pPr>
        <w:pStyle w:val="Heading2"/>
      </w:pPr>
      <w:r>
        <w:t xml:space="preserve">Les trois messages à faire passer</w:t>
      </w:r>
    </w:p>
    <w:p>
      <w:pPr>
        <w:pStyle w:val="ListParagraph"/>
        <w:numPr>
          <w:ilvl w:val="0"/>
          <w:numId w:val="2"/>
        </w:numPr>
        <w:spacing w:after="40"/>
      </w:pPr>
      <w:r>
        <w:t xml:space="preserve">Le système mesure l'écart entre perception humaine et signal mesuré, avec deux pathologies (fausse urgence F, risque caché H), et le danger invisible coûte plus cher que la panique (asymétrie 2,25×).</w:t>
      </w:r>
    </w:p>
    <w:p>
      <w:pPr>
        <w:pStyle w:val="ListParagraph"/>
        <w:numPr>
          <w:ilvl w:val="0"/>
          <w:numId w:val="2"/>
        </w:numPr>
        <w:spacing w:after="40"/>
      </w:pPr>
      <w:r>
        <w:t xml:space="preserve">Tout est explicable et auditable : chaque score se décompose exactement (décompositions additives prouvées), chaque chiffre a une trace (qui, quand, quelle règle).</w:t>
      </w:r>
    </w:p>
    <w:p>
      <w:pPr>
        <w:pStyle w:val="ListParagraph"/>
        <w:numPr>
          <w:ilvl w:val="0"/>
          <w:numId w:val="2"/>
        </w:numPr>
        <w:spacing w:after="40"/>
      </w:pPr>
      <w:r>
        <w:t xml:space="preserve">La validation externe n'est pas faite et c'est assumé : 1 592 tests de cohérence interne plus des scénarios comportementaux ; le serious game réel est le banc d'essai, le module de calibration prédiction/réalité existe déjà.</w:t>
      </w:r>
    </w:p>
    <w:p>
      <w:pPr>
        <w:pStyle w:val="Heading1"/>
      </w:pPr>
      <w:r>
        <w:t xml:space="preserve">1. Positionnement scientifique et originalité</w:t>
      </w:r>
    </w:p>
    <w:p>
      <w:pPr>
        <w:pBdr>
          <w:left w:val="single" w:color="8FAAB3" w:sz="12" w:space="8"/>
        </w:pBdr>
        <w:spacing w:after="140"/>
        <w:ind w:left="120"/>
      </w:pPr>
      <w:r>
        <w:rPr>
          <w:i/>
          <w:iCs/>
        </w:rPr>
        <w:t xml:space="preserve">Elle commencera sans doute ici : situer le travail, vérifier que tu sais ce qui est original et ce qui ne l'est pas.</w:t>
      </w:r>
    </w:p>
    <w:p>
      <w:pPr>
        <w:pStyle w:val="Heading3"/>
        <w:keepNext/>
        <w:spacing w:after="60" w:before="220"/>
      </w:pPr>
      <w:r>
        <w:rPr>
          <w:b/>
          <w:bCs/>
        </w:rPr>
        <w:t xml:space="preserve">Q1.1. « Quelle est ta question de recherche, en une phrase ? »</w:t>
      </w:r>
    </w:p>
    <w:p>
      <w:pPr>
        <w:pStyle w:val="ListParagraph"/>
        <w:numPr>
          <w:ilvl w:val="0"/>
          <w:numId w:val="2"/>
        </w:numPr>
        <w:spacing w:after="40"/>
      </w:pPr>
      <w:r>
        <w:t xml:space="preserve">L'écart entre l'urgence déclarée par les humains (Ud, questionnaire) et l'urgence mesurée par les données (Ur, KPIs) est-il mesurable, propageable sur un réseau multi-rangs, et exploitable pour détecter deux pathologies, la fausse urgence (F) et le risque caché (H) ?</w:t>
      </w:r>
    </w:p>
    <w:p>
      <w:pPr>
        <w:pStyle w:val="ListParagraph"/>
        <w:numPr>
          <w:ilvl w:val="0"/>
          <w:numId w:val="2"/>
        </w:numPr>
        <w:spacing w:after="40"/>
      </w:pPr>
      <w:r>
        <w:t xml:space="preserve">Hypothèse de travail : le danger n'est pas (que) dans les KPIs, il est dans le désalignement perception/mesure.</w:t>
      </w:r>
    </w:p>
    <w:p>
      <w:pPr>
        <w:pStyle w:val="ListParagraph"/>
        <w:numPr>
          <w:ilvl w:val="0"/>
          <w:numId w:val="2"/>
        </w:numPr>
        <w:spacing w:after="40"/>
      </w:pPr>
      <w:r>
        <w:t xml:space="preserve">Produit : un score A ∈ [0, 100] par nœud, asymétrique (sous-estimer coûte 2,25× plus cher que paniquer), entièrement décomposable.</w:t>
      </w:r>
    </w:p>
    <w:p>
      <w:pPr>
        <w:pStyle w:val="Heading3"/>
        <w:keepNext/>
        <w:spacing w:after="60" w:before="220"/>
      </w:pPr>
      <w:r>
        <w:rPr>
          <w:b/>
          <w:bCs/>
        </w:rPr>
        <w:t xml:space="preserve">Q1.2. « Qu'est-ce qui existe déjà ? En quoi es-tu différent ? »</w:t>
      </w:r>
    </w:p>
    <w:p>
      <w:pPr>
        <w:pStyle w:val="ListParagraph"/>
        <w:numPr>
          <w:ilvl w:val="0"/>
          <w:numId w:val="2"/>
        </w:numPr>
        <w:spacing w:after="40"/>
      </w:pPr>
      <w:r>
        <w:t xml:space="preserve">Littérature : effet ripple (Ivanov et al.), c'est-à-dire la propagation de perturbations multi-rangs ; modèles Markov/DBN de disruption ; réseaux bayésiens de risque supply chain ; stress-tests TTR/TTS (Simchi-Levi, MIT).</w:t>
      </w:r>
    </w:p>
    <w:p>
      <w:pPr>
        <w:pStyle w:val="ListParagraph"/>
        <w:numPr>
          <w:ilvl w:val="0"/>
          <w:numId w:val="2"/>
        </w:numPr>
        <w:spacing w:after="40"/>
      </w:pPr>
      <w:r>
        <w:t xml:space="preserve">Pratique commerciale (Everstream, Resilinc, Interos) : cartographie multi-rangs et scoring continu du risque.</w:t>
      </w:r>
    </w:p>
    <w:p>
      <w:pPr>
        <w:pStyle w:val="ListParagraph"/>
        <w:numPr>
          <w:ilvl w:val="0"/>
          <w:numId w:val="2"/>
        </w:numPr>
        <w:spacing w:after="40"/>
      </w:pPr>
      <w:r>
        <w:t xml:space="preserve">Aucun des deux ne confronte la perception déclarée à la mesure : tous scorent le réel, personne ne score l'écart déclaré/réel. C'est le différenciateur, documenté avec références dans la spec.</w:t>
      </w:r>
    </w:p>
    <w:p>
      <w:pPr>
        <w:pStyle w:val="ListParagraph"/>
        <w:numPr>
          <w:ilvl w:val="0"/>
          <w:numId w:val="2"/>
        </w:numPr>
        <w:spacing w:after="40"/>
      </w:pPr>
      <w:r>
        <w:t xml:space="preserve">La propagation elle-même n'est pas revendiquée comme originale : structure produit-de-survies classique, figée en une passe déterministe.</w:t>
      </w:r>
    </w:p>
    <w:p>
      <w:pPr>
        <w:pStyle w:val="Heading3"/>
        <w:keepNext/>
        <w:spacing w:after="60" w:before="220"/>
      </w:pPr>
      <w:r>
        <w:rPr>
          <w:b/>
          <w:bCs/>
        </w:rPr>
        <w:t xml:space="preserve">Q1.3. « C'est de la recherche ou de l'ingénierie ? »</w:t>
      </w:r>
    </w:p>
    <w:p>
      <w:pPr>
        <w:pStyle w:val="ListParagraph"/>
        <w:numPr>
          <w:ilvl w:val="0"/>
          <w:numId w:val="2"/>
        </w:numPr>
        <w:spacing w:after="40"/>
      </w:pPr>
      <w:r>
        <w:t xml:space="preserve">Assumer : de l'ingénierie de modèle, avec une brique conceptuelle originale (l'adéquation Ud/Ur) qui peut devenir un objet de recherche.</w:t>
      </w:r>
    </w:p>
    <w:p>
      <w:pPr>
        <w:pStyle w:val="ListParagraph"/>
        <w:numPr>
          <w:ilvl w:val="0"/>
          <w:numId w:val="2"/>
        </w:numPr>
        <w:spacing w:after="40"/>
      </w:pPr>
      <w:r>
        <w:t xml:space="preserve">La part scientifique de la démarche : spec formelle rédigée depuis le code (chaque formule cite son fichier), propriétés mathématiques testées (bornes, monotonies, invariants), décisions de modélisation tranchées et justifiées par écrit.</w:t>
      </w:r>
    </w:p>
    <w:p>
      <w:pPr>
        <w:pStyle w:val="ListParagraph"/>
        <w:numPr>
          <w:ilvl w:val="0"/>
          <w:numId w:val="2"/>
        </w:numPr>
        <w:spacing w:after="40"/>
      </w:pPr>
      <w:r>
        <w:t xml:space="preserve">La partie publiable potentielle : le score d'adéquation asymétrique et le protocole serious game de validation (cf. Q7.7).</w:t>
      </w:r>
    </w:p>
    <w:p>
      <w:pPr>
        <w:pStyle w:val="Heading3"/>
        <w:keepNext/>
        <w:spacing w:after="60" w:before="220"/>
      </w:pPr>
      <w:r>
        <w:rPr>
          <w:b/>
          <w:bCs/>
        </w:rPr>
        <w:t xml:space="preserve">Q1.4. « Un score unique ? L'agrégation détruit l'information. »</w:t>
      </w:r>
    </w:p>
    <w:p>
      <w:pPr>
        <w:pStyle w:val="ListParagraph"/>
        <w:numPr>
          <w:ilvl w:val="0"/>
          <w:numId w:val="2"/>
        </w:numPr>
        <w:spacing w:after="40"/>
      </w:pPr>
      <w:r>
        <w:t xml:space="preserve">A n'est jamais livré seul : toujours décomposé (F, H, part de chaque bloc KPI, parts locale/propagée, équation instanciée affichée dans l'interface).</w:t>
      </w:r>
    </w:p>
    <w:p>
      <w:pPr>
        <w:pStyle w:val="ListParagraph"/>
        <w:numPr>
          <w:ilvl w:val="0"/>
          <w:numId w:val="2"/>
        </w:numPr>
        <w:spacing w:after="40"/>
      </w:pPr>
      <w:r>
        <w:t xml:space="preserve">Le score unique sert à trier (où regarder d'abord), pas à décider ; le classement opérationnel passe par PROMETHEE II, multicritère justement pour ne pas tout écraser.</w:t>
      </w:r>
    </w:p>
    <w:p>
      <w:pPr>
        <w:pStyle w:val="ListParagraph"/>
        <w:numPr>
          <w:ilvl w:val="0"/>
          <w:numId w:val="2"/>
        </w:numPr>
        <w:spacing w:after="40"/>
      </w:pPr>
      <w:r>
        <w:t xml:space="preserve">Les décompositions sont exactes (additives sans résidu, dans l'espace log-survie pour le OU probabiliste), pas des attributions post-hoc approximatives.</w:t>
      </w:r>
    </w:p>
    <w:p>
      <w:pPr>
        <w:pStyle w:val="Heading3"/>
        <w:keepNext/>
        <w:spacing w:after="60" w:before="220"/>
      </w:pPr>
      <w:r>
        <w:rPr>
          <w:b/>
          <w:bCs/>
        </w:rPr>
        <w:t xml:space="preserve">Q1.5. « Tu as travaillé seul ? Quel regard critique extérieur ? »</w:t>
      </w:r>
    </w:p>
    <w:p>
      <w:pPr>
        <w:pStyle w:val="ListParagraph"/>
        <w:numPr>
          <w:ilvl w:val="0"/>
          <w:numId w:val="2"/>
        </w:numPr>
        <w:spacing w:after="40"/>
      </w:pPr>
      <w:r>
        <w:t xml:space="preserve">Démarche d'auto-critique systématique : registre des faiblesses (23 recensées en v1), audits par phase, 4 vrais bugs trouvés par les tests de propriétés.</w:t>
      </w:r>
    </w:p>
    <w:p>
      <w:pPr>
        <w:pStyle w:val="ListParagraph"/>
        <w:numPr>
          <w:ilvl w:val="0"/>
          <w:numId w:val="2"/>
        </w:numPr>
        <w:spacing w:after="40"/>
      </w:pPr>
      <w:r>
        <w:t xml:space="preserve">Cette réunion fait partie du regard extérieur : dire que ses objections seront notées et traitées.</w:t>
      </w:r>
    </w:p>
    <w:p>
      <w:pPr>
        <w:pStyle w:val="ListParagraph"/>
        <w:numPr>
          <w:ilvl w:val="0"/>
          <w:numId w:val="2"/>
        </w:numPr>
        <w:spacing w:after="40"/>
      </w:pPr>
      <w:r>
        <w:t xml:space="preserve">Le serious game, confrontation à de vrais utilisateurs, est la prochaine étape.</w:t>
      </w:r>
    </w:p>
    <w:p>
      <w:pPr>
        <w:pStyle w:val="Heading1"/>
      </w:pPr>
      <w:r>
        <w:t xml:space="preserve">2. Ud : le questionnaire AHP</w:t>
      </w:r>
    </w:p>
    <w:p>
      <w:pPr>
        <w:pBdr>
          <w:left w:val="single" w:color="8FAAB3" w:sz="12" w:space="8"/>
        </w:pBdr>
        <w:spacing w:after="140"/>
        <w:ind w:left="120"/>
      </w:pPr>
      <w:r>
        <w:rPr>
          <w:i/>
          <w:iCs/>
        </w:rPr>
        <w:t xml:space="preserve">L'AHP est un classique très critiqué du multicritère : elle connaît les attaques par cœur. Chacune a une réponse documentée.</w:t>
      </w:r>
    </w:p>
    <w:p>
      <w:pPr>
        <w:pStyle w:val="Heading3"/>
        <w:keepNext/>
        <w:spacing w:after="60" w:before="220"/>
      </w:pPr>
      <w:r>
        <w:rPr>
          <w:b/>
          <w:bCs/>
        </w:rPr>
        <w:t xml:space="preserve">Q2.1. « Pourquoi l'AHP ? Méthode des années 70, très critiquée. »</w:t>
      </w:r>
    </w:p>
    <w:p>
      <w:pPr>
        <w:pStyle w:val="ListParagraph"/>
        <w:numPr>
          <w:ilvl w:val="0"/>
          <w:numId w:val="2"/>
        </w:numPr>
        <w:spacing w:after="40"/>
      </w:pPr>
      <w:r>
        <w:t xml:space="preserve">Besoin : transformer des jugements humains hebdomadaires en poids, avec un contrôle de cohérence intégré. L'AHP fait exactement ça, avec 50 ans de recul et une norme connue des industriels.</w:t>
      </w:r>
    </w:p>
    <w:p>
      <w:pPr>
        <w:pStyle w:val="ListParagraph"/>
        <w:numPr>
          <w:ilvl w:val="0"/>
          <w:numId w:val="2"/>
        </w:numPr>
        <w:spacing w:after="40"/>
      </w:pPr>
      <w:r>
        <w:t xml:space="preserve">Périmètre volontairement minimal : 4 critères figés (impact opérationnel, fenêtre temporelle, dépendances aval, récupérabilité), contrôle CR &lt; 0,10 bloquant (réponses incohérentes rejetées).</w:t>
      </w:r>
    </w:p>
    <w:p>
      <w:pPr>
        <w:pStyle w:val="ListParagraph"/>
        <w:numPr>
          <w:ilvl w:val="0"/>
          <w:numId w:val="2"/>
        </w:numPr>
        <w:spacing w:after="40"/>
      </w:pPr>
      <w:r>
        <w:t xml:space="preserve">Les critiques connues (rank reversal, échelle, incohérence à grand n) sont traitées une par une, cf. questions suivantes.</w:t>
      </w:r>
    </w:p>
    <w:p>
      <w:pPr>
        <w:pStyle w:val="ListParagraph"/>
        <w:numPr>
          <w:ilvl w:val="0"/>
          <w:numId w:val="2"/>
        </w:numPr>
        <w:spacing w:after="40"/>
      </w:pPr>
      <w:r>
        <w:t xml:space="preserve">Et précisément à cause des limites de l'AHP, la pondération plus riche (6 blocs d'Ur) passe par FBWM, pas par l'AHP.</w:t>
      </w:r>
    </w:p>
    <w:p>
      <w:pPr>
        <w:pStyle w:val="Heading3"/>
        <w:keepNext/>
        <w:spacing w:after="60" w:before="220"/>
      </w:pPr>
      <w:r>
        <w:rPr>
          <w:b/>
          <w:bCs/>
          <w:color w:val="C00000"/>
        </w:rPr>
        <w:t xml:space="preserve">[PIÈGE] </w:t>
      </w:r>
      <w:r>
        <w:rPr>
          <w:b/>
          <w:bCs/>
        </w:rPr>
        <w:t xml:space="preserve">Q2.2. « Tu calcules le vrai vecteur propre de Perron-Frobenius ? »</w:t>
      </w:r>
    </w:p>
    <w:p>
      <w:pPr>
        <w:pStyle w:val="ListParagraph"/>
        <w:numPr>
          <w:ilvl w:val="0"/>
          <w:numId w:val="2"/>
        </w:numPr>
        <w:spacing w:after="40"/>
      </w:pPr>
      <w:r>
        <w:t xml:space="preserve">Non, et c'est documenté : approximation classique « moyenne des lignes de la matrice normalisée par colonnes ».</w:t>
      </w:r>
    </w:p>
    <w:p>
      <w:pPr>
        <w:pStyle w:val="ListParagraph"/>
        <w:numPr>
          <w:ilvl w:val="0"/>
          <w:numId w:val="2"/>
        </w:numPr>
        <w:spacing w:after="40"/>
      </w:pPr>
      <w:r>
        <w:t xml:space="preserve">Exacte quand la matrice est parfaitement cohérente (toutes les colonnes normalisées égalent w). Cas testé : w = (0,4 ; 0,3 ; 0,2 ; 0,1) redonné exactement, λmax = 4, CR = 0.</w:t>
      </w:r>
    </w:p>
    <w:p>
      <w:pPr>
        <w:pStyle w:val="ListParagraph"/>
        <w:numPr>
          <w:ilvl w:val="0"/>
          <w:numId w:val="2"/>
        </w:numPr>
        <w:spacing w:after="40"/>
      </w:pPr>
      <w:r>
        <w:t xml:space="preserve">Sous CR &lt; 0,10 : écart par composante de l'ordre de 10⁻² au plus, inférieur au bruit de quantification de l'échelle discrète de Saaty (entiers 1..9).</w:t>
      </w:r>
    </w:p>
    <w:p>
      <w:pPr>
        <w:pStyle w:val="ListParagraph"/>
        <w:numPr>
          <w:ilvl w:val="0"/>
          <w:numId w:val="2"/>
        </w:numPr>
        <w:spacing w:after="40"/>
      </w:pPr>
      <w:r>
        <w:t xml:space="preserve">Les matrices très incohérentes, où l'écart serait grand, sont précisément rejetées par le seuil.</w:t>
      </w:r>
    </w:p>
    <w:p>
      <w:pPr>
        <w:pStyle w:val="ListParagraph"/>
        <w:numPr>
          <w:ilvl w:val="0"/>
          <w:numId w:val="2"/>
        </w:numPr>
        <w:spacing w:after="40"/>
      </w:pPr>
      <w:r>
        <w:rPr>
          <w:i/>
          <w:iCs/>
        </w:rPr>
        <w:t xml:space="preserve">Si elle insiste : </w:t>
      </w:r>
      <w:r>
        <w:t xml:space="preserve">passer au vecteur propre exact (itération de puissance) serait une modification locale d'une dizaine de lignes. Le choix actuel est un arbitrage coût/précision assumé, pas une ignorance.</w:t>
      </w:r>
    </w:p>
    <w:p>
      <w:pPr>
        <w:pStyle w:val="Heading3"/>
        <w:keepNext/>
        <w:spacing w:after="60" w:before="220"/>
      </w:pPr>
      <w:r>
        <w:rPr>
          <w:b/>
          <w:bCs/>
          <w:color w:val="C00000"/>
        </w:rPr>
        <w:t xml:space="preserve">[PIÈGE] </w:t>
      </w:r>
      <w:r>
        <w:rPr>
          <w:b/>
          <w:bCs/>
        </w:rPr>
        <w:t xml:space="preserve">Q2.3. « Et le rank reversal de l'AHP ? »</w:t>
      </w:r>
    </w:p>
    <w:p>
      <w:pPr>
        <w:pStyle w:val="ListParagraph"/>
        <w:numPr>
          <w:ilvl w:val="0"/>
          <w:numId w:val="2"/>
        </w:numPr>
        <w:spacing w:after="40"/>
      </w:pPr>
      <w:r>
        <w:t xml:space="preserve">Le rank reversal classique concerne le classement d'alternatives quand on en ajoute ou retire une. Ici l'AHP ne classe aucune alternative : il pondère 4 critères figés pour produire un score absolu Ud. Pas d'alternatives, pas d'ajout dynamique, donc pas de prise pour le phénomène.</w:t>
      </w:r>
    </w:p>
    <w:p>
      <w:pPr>
        <w:pStyle w:val="ListParagraph"/>
        <w:numPr>
          <w:ilvl w:val="0"/>
          <w:numId w:val="2"/>
        </w:numPr>
        <w:spacing w:after="40"/>
      </w:pPr>
      <w:r>
        <w:t xml:space="preserve">Là où un classement d'alternatives existe (priorisation des nœuds), c'est PROMETHEE II, qui a son propre renversement de rang, documenté en toutes lettres dans le code et exhibé par un test descriptif (cf. Q8.4).</w:t>
      </w:r>
    </w:p>
    <w:p>
      <w:pPr>
        <w:pStyle w:val="Heading3"/>
        <w:keepNext/>
        <w:spacing w:after="60" w:before="220"/>
      </w:pPr>
      <w:r>
        <w:rPr>
          <w:b/>
          <w:bCs/>
        </w:rPr>
        <w:t xml:space="preserve">Q2.4. « CR &lt; 0,10, c'est un seuil arbitraire. »</w:t>
      </w:r>
    </w:p>
    <w:p>
      <w:pPr>
        <w:pStyle w:val="ListParagraph"/>
        <w:numPr>
          <w:ilvl w:val="0"/>
          <w:numId w:val="2"/>
        </w:numPr>
        <w:spacing w:after="40"/>
      </w:pPr>
      <w:r>
        <w:t xml:space="preserve">C'est le seuil historique de Saaty, standard de la littérature, assumé comme convention de domaine et non comme vérité.</w:t>
      </w:r>
    </w:p>
    <w:p>
      <w:pPr>
        <w:pStyle w:val="ListParagraph"/>
        <w:numPr>
          <w:ilvl w:val="0"/>
          <w:numId w:val="2"/>
        </w:numPr>
        <w:spacing w:after="40"/>
      </w:pPr>
      <w:r>
        <w:t xml:space="preserve">Rôle opérationnel : garde-fou bloquant contre les réponses incohérentes. L'utilisateur doit re-juger ses paires.</w:t>
      </w:r>
    </w:p>
    <w:p>
      <w:pPr>
        <w:pStyle w:val="ListParagraph"/>
        <w:numPr>
          <w:ilvl w:val="0"/>
          <w:numId w:val="2"/>
        </w:numPr>
        <w:spacing w:after="40"/>
      </w:pPr>
      <w:r>
        <w:t xml:space="preserve">Table RI de Saaty vérifiée dans le code ; cas limites traités (n ≤ 2 : toujours cohérent, CR = 0).</w:t>
      </w:r>
    </w:p>
    <w:p>
      <w:pPr>
        <w:pStyle w:val="Heading3"/>
        <w:keepNext/>
        <w:spacing w:after="60" w:before="220"/>
      </w:pPr>
      <w:r>
        <w:rPr>
          <w:b/>
          <w:bCs/>
        </w:rPr>
        <w:t xml:space="preserve">Q2.5. « Pourquoi seulement 4 critères ? »</w:t>
      </w:r>
    </w:p>
    <w:p>
      <w:pPr>
        <w:pStyle w:val="ListParagraph"/>
        <w:numPr>
          <w:ilvl w:val="0"/>
          <w:numId w:val="2"/>
        </w:numPr>
        <w:spacing w:after="40"/>
      </w:pPr>
      <w:r>
        <w:t xml:space="preserve">La cohérence AHP se dégrade au-delà de ~7 critères (limite documentée) ; 4 critères = un questionnaire faisable chaque semaine par un opérateur (charge cognitive maîtrisée).</w:t>
      </w:r>
    </w:p>
    <w:p>
      <w:pPr>
        <w:pStyle w:val="ListParagraph"/>
        <w:numPr>
          <w:ilvl w:val="0"/>
          <w:numId w:val="2"/>
        </w:numPr>
        <w:spacing w:after="40"/>
      </w:pPr>
      <w:r>
        <w:t xml:space="preserve">Les 4 couvrent gravité, temps, réseau et réversibilité : impact opérationnel, fenêtre temporelle, dépendances aval, récupérabilité.</w:t>
      </w:r>
    </w:p>
    <w:p>
      <w:pPr>
        <w:pStyle w:val="ListParagraph"/>
        <w:numPr>
          <w:ilvl w:val="0"/>
          <w:numId w:val="2"/>
        </w:numPr>
        <w:spacing w:after="40"/>
      </w:pPr>
      <w:r>
        <w:t xml:space="preserve">La granularité fine est ailleurs : 6 blocs de KPIs côté Ur, pondérés par FBWM.</w:t>
      </w:r>
    </w:p>
    <w:p>
      <w:pPr>
        <w:pStyle w:val="Heading3"/>
        <w:keepNext/>
        <w:spacing w:after="60" w:before="220"/>
      </w:pPr>
      <w:r>
        <w:rPr>
          <w:b/>
          <w:bCs/>
        </w:rPr>
        <w:t xml:space="preserve">Q2.6. « Tes conversions d'échelle (curseur ±8, notes 1–6 → 1–9) déforment les jugements. »</w:t>
      </w:r>
    </w:p>
    <w:p>
      <w:pPr>
        <w:pStyle w:val="ListParagraph"/>
        <w:numPr>
          <w:ilvl w:val="0"/>
          <w:numId w:val="2"/>
        </w:numPr>
        <w:spacing w:after="40"/>
      </w:pPr>
      <w:r>
        <w:t xml:space="preserve">Conversions affines documentées : le curseur bipolaire préserve la réciprocité de Saaty par construction (propriété testée : f(−v) = 1/f(v)) ; la note 1–6 → 1–9 est linéaire, sans déformation des écarts relatifs.</w:t>
      </w:r>
    </w:p>
    <w:p>
      <w:pPr>
        <w:pStyle w:val="ListParagraph"/>
        <w:numPr>
          <w:ilvl w:val="0"/>
          <w:numId w:val="2"/>
        </w:numPr>
        <w:spacing w:after="40"/>
      </w:pPr>
      <w:r>
        <w:t xml:space="preserve">Toute échelle discrète quantifie ; ce bruit de quantification est justement l'ordre de grandeur d'erreur accepté partout ailleurs (cf. Q2.2).</w:t>
      </w:r>
    </w:p>
    <w:p>
      <w:pPr>
        <w:pStyle w:val="ListParagraph"/>
        <w:numPr>
          <w:ilvl w:val="0"/>
          <w:numId w:val="2"/>
        </w:numPr>
        <w:spacing w:after="40"/>
      </w:pPr>
      <w:r>
        <w:t xml:space="preserve">Traçabilité : les jugements bruts sont conservés et affichables. On peut toujours revenir à ce que l'opérateur a réellement déclaré.</w:t>
      </w:r>
    </w:p>
    <w:p>
      <w:pPr>
        <w:pStyle w:val="Heading3"/>
        <w:keepNext/>
        <w:spacing w:after="60" w:before="220"/>
      </w:pPr>
      <w:r>
        <w:rPr>
          <w:b/>
          <w:bCs/>
        </w:rPr>
        <w:t xml:space="preserve">Q2.7. « Pourquoi lisser Ud par une EMA, et pourquoi ρ = 0,3 ? »</w:t>
      </w:r>
    </w:p>
    <w:p>
      <w:pPr>
        <w:pStyle w:val="ListParagraph"/>
        <w:numPr>
          <w:ilvl w:val="0"/>
          <w:numId w:val="2"/>
        </w:numPr>
        <w:spacing w:after="40"/>
      </w:pPr>
      <w:r>
        <w:t xml:space="preserve">But : amortir le bruit de perception d'une semaine à l'autre sans masquer les vraies évolutions ; le premier questionnaire passe sans lissage (pas d'invention de passé).</w:t>
      </w:r>
    </w:p>
    <w:p>
      <w:pPr>
        <w:pStyle w:val="ListParagraph"/>
        <w:numPr>
          <w:ilvl w:val="0"/>
          <w:numId w:val="2"/>
        </w:numPr>
        <w:spacing w:after="40"/>
      </w:pPr>
      <w:r>
        <w:t xml:space="preserve">Propriété garantie et testée : combinaison convexe. Le Ud lissé reste entre l'ancienne et la nouvelle valeur.</w:t>
      </w:r>
    </w:p>
    <w:p>
      <w:pPr>
        <w:pStyle w:val="ListParagraph"/>
        <w:numPr>
          <w:ilvl w:val="0"/>
          <w:numId w:val="2"/>
        </w:numPr>
        <w:spacing w:after="40"/>
      </w:pPr>
      <w:r>
        <w:t xml:space="preserve">ρ = 0,3 = inertie (poids du passé) : paramètre de gouvernance explicite, recalibrable après le serious game.</w:t>
      </w:r>
    </w:p>
    <w:p>
      <w:pPr>
        <w:pStyle w:val="ListParagraph"/>
        <w:numPr>
          <w:ilvl w:val="0"/>
          <w:numId w:val="2"/>
        </w:numPr>
        <w:spacing w:after="40"/>
      </w:pPr>
      <w:r>
        <w:t xml:space="preserve">Piège de notation à connaître : ici ρ = poids du passé ; dans les événements, λ = poids de l'observation (réactivité). Convention inversée, documentée.</w:t>
      </w:r>
    </w:p>
    <w:p>
      <w:pPr>
        <w:pStyle w:val="Heading3"/>
        <w:keepNext/>
        <w:spacing w:after="60" w:before="220"/>
      </w:pPr>
      <w:r>
        <w:rPr>
          <w:b/>
          <w:bCs/>
        </w:rPr>
        <w:t xml:space="preserve">Q2.8. « Ud est purement subjectif. Garbage in, garbage out ? »</w:t>
      </w:r>
    </w:p>
    <w:p>
      <w:pPr>
        <w:pStyle w:val="ListParagraph"/>
        <w:numPr>
          <w:ilvl w:val="0"/>
          <w:numId w:val="2"/>
        </w:numPr>
        <w:spacing w:after="40"/>
      </w:pPr>
      <w:r>
        <w:t xml:space="preserve">Oui, Ud est subjectif par construction : c'est une mesure de la perception. La subjectivité n'est pas un défaut du capteur, c'est l'objet mesuré.</w:t>
      </w:r>
    </w:p>
    <w:p>
      <w:pPr>
        <w:pStyle w:val="ListParagraph"/>
        <w:numPr>
          <w:ilvl w:val="0"/>
          <w:numId w:val="2"/>
        </w:numPr>
        <w:spacing w:after="40"/>
      </w:pPr>
      <w:r>
        <w:t xml:space="preserve">Le système ne fait jamais confiance à Ud seul : il le confronte à Ur. Un Ud biaisé produit exactement les pathologies détectées (H si sous-déclaré, F si sur-déclaré).</w:t>
      </w:r>
    </w:p>
    <w:p>
      <w:pPr>
        <w:pStyle w:val="ListParagraph"/>
        <w:numPr>
          <w:ilvl w:val="0"/>
          <w:numId w:val="2"/>
        </w:numPr>
        <w:spacing w:after="40"/>
      </w:pPr>
      <w:r>
        <w:t xml:space="preserve">Garde-fous : CR bloquant, lissage, historique horodaté par opérateur identifié, journal d'audit.</w:t>
      </w:r>
    </w:p>
    <w:p>
      <w:pPr>
        <w:pStyle w:val="Heading1"/>
      </w:pPr>
      <w:r>
        <w:t xml:space="preserve">3. Ur : les six blocs KPI et le OU probabiliste</w:t>
      </w:r>
    </w:p>
    <w:p>
      <w:pPr>
        <w:pBdr>
          <w:left w:val="single" w:color="8FAAB3" w:sz="12" w:space="8"/>
        </w:pBdr>
        <w:spacing w:after="140"/>
        <w:ind w:left="120"/>
      </w:pPr>
      <w:r>
        <w:rPr>
          <w:i/>
          <w:iCs/>
        </w:rPr>
        <w:t xml:space="preserve">Le cœur quantitatif. Les attaques porteront sur les hypothèses d'indépendance et les choix de lois.</w:t>
      </w:r>
    </w:p>
    <w:p>
      <w:pPr>
        <w:pStyle w:val="Heading3"/>
        <w:keepNext/>
        <w:spacing w:after="60" w:before="220"/>
      </w:pPr>
      <w:r>
        <w:rPr>
          <w:b/>
          <w:bCs/>
          <w:color w:val="C00000"/>
        </w:rPr>
        <w:t xml:space="preserve">[PIÈGE] </w:t>
      </w:r>
      <w:r>
        <w:rPr>
          <w:b/>
          <w:bCs/>
        </w:rPr>
        <w:t xml:space="preserve">Q3.1. « Ton OU probabiliste suppose les blocs indépendants. Temps, risque et coût sont évidemment corrélés. »</w:t>
      </w:r>
    </w:p>
    <w:p>
      <w:pPr>
        <w:pStyle w:val="ListParagraph"/>
        <w:numPr>
          <w:ilvl w:val="0"/>
          <w:numId w:val="2"/>
        </w:numPr>
        <w:spacing w:after="40"/>
      </w:pPr>
      <w:r>
        <w:t xml:space="preserve">Exact : c'est l'hypothèse du noisy-OR des réseaux bayésiens, assumée comme approximation (référencée dans la spec).</w:t>
      </w:r>
    </w:p>
    <w:p>
      <w:pPr>
        <w:pStyle w:val="ListParagraph"/>
        <w:numPr>
          <w:ilvl w:val="0"/>
          <w:numId w:val="2"/>
        </w:numPr>
        <w:spacing w:after="40"/>
      </w:pPr>
      <w:r>
        <w:t xml:space="preserve">Le sens de l'erreur est connu : si deux blocs corrélés s'allument ensemble, le OU surestime l'urgence. Erreur conservatrice, du bon côté pour un système d'alerte (mieux vaut un Ur trop haut qu'un risque caché raté).</w:t>
      </w:r>
    </w:p>
    <w:p>
      <w:pPr>
        <w:pStyle w:val="ListParagraph"/>
        <w:numPr>
          <w:ilvl w:val="0"/>
          <w:numId w:val="2"/>
        </w:numPr>
        <w:spacing w:after="40"/>
      </w:pPr>
      <w:r>
        <w:t xml:space="preserve">Les poids ω permettent d'atténuer un bloc redondant ; leur pondération experte passe par FBWM.</w:t>
      </w:r>
    </w:p>
    <w:p>
      <w:pPr>
        <w:pStyle w:val="ListParagraph"/>
        <w:numPr>
          <w:ilvl w:val="0"/>
          <w:numId w:val="2"/>
        </w:numPr>
        <w:spacing w:after="40"/>
      </w:pPr>
      <w:r>
        <w:rPr>
          <w:i/>
          <w:iCs/>
        </w:rPr>
        <w:t xml:space="preserve">Si elle insiste : </w:t>
      </w:r>
      <w:r>
        <w:t xml:space="preserve">l'alternative rigoureuse (copules, DBN complet) existe, mais son coût en données de calibration et en explicabilité n'est pas justifié au stade actuel. Un arbitrage, pas une ignorance.</w:t>
      </w:r>
    </w:p>
    <w:p>
      <w:pPr>
        <w:pStyle w:val="Heading3"/>
        <w:keepNext/>
        <w:spacing w:after="60" w:before="220"/>
      </w:pPr>
      <w:r>
        <w:rPr>
          <w:b/>
          <w:bCs/>
        </w:rPr>
        <w:t xml:space="preserve">Q3.2. « Quelle est la sémantique exacte de Ur ? Une probabilité ? »</w:t>
      </w:r>
    </w:p>
    <w:p>
      <w:pPr>
        <w:pStyle w:val="ListParagraph"/>
        <w:numPr>
          <w:ilvl w:val="0"/>
          <w:numId w:val="2"/>
        </w:numPr>
        <w:spacing w:after="40"/>
      </w:pPr>
      <w:r>
        <w:t xml:space="preserve">Chaque bloc est construit comme une quasi-probabilité (« ce bloc rend le nœud urgent ») ; l'agrégation noisy-OR est cohérente avec cette lecture (probabilité qu'au moins un bloc déclenche).</w:t>
      </w:r>
    </w:p>
    <w:p>
      <w:pPr>
        <w:pStyle w:val="ListParagraph"/>
        <w:numPr>
          <w:ilvl w:val="0"/>
          <w:numId w:val="2"/>
        </w:numPr>
        <w:spacing w:after="40"/>
      </w:pPr>
      <w:r>
        <w:t xml:space="preserve">Réponse honnête : Ur est un indice normalisé [0, 1] à ancrage probabiliste partiel. Certains blocs sont de vraies probabilités (u_time = P(retard)), d'autres des intensités normalisées (u_perf = 1 − OEE).</w:t>
      </w:r>
    </w:p>
    <w:p>
      <w:pPr>
        <w:pStyle w:val="ListParagraph"/>
        <w:numPr>
          <w:ilvl w:val="0"/>
          <w:numId w:val="2"/>
        </w:numPr>
        <w:spacing w:after="40"/>
      </w:pPr>
      <w:r>
        <w:t xml:space="preserve">Ce qui compte opérationnellement, et qui est garanti par tests : bornes, monotonie en chaque entrée, comparabilité entre nœuds et dans le temps.</w:t>
      </w:r>
    </w:p>
    <w:p>
      <w:pPr>
        <w:pStyle w:val="ListParagraph"/>
        <w:numPr>
          <w:ilvl w:val="0"/>
          <w:numId w:val="2"/>
        </w:numPr>
        <w:spacing w:after="40"/>
      </w:pPr>
      <w:r>
        <w:t xml:space="preserve">Formulation à utiliser : « score à sémantique mixte, ancré sur des probabilités quand les données le permettent ».</w:t>
      </w:r>
    </w:p>
    <w:p>
      <w:pPr>
        <w:pStyle w:val="Heading3"/>
        <w:keepNext/>
        <w:spacing w:after="60" w:before="220"/>
      </w:pPr>
      <w:r>
        <w:rPr>
          <w:b/>
          <w:bCs/>
        </w:rPr>
        <w:t xml:space="preserve">Q3.3. « Pourquoi pas une moyenne pondérée des six blocs ? »</w:t>
      </w:r>
    </w:p>
    <w:p>
      <w:pPr>
        <w:pStyle w:val="ListParagraph"/>
        <w:numPr>
          <w:ilvl w:val="0"/>
          <w:numId w:val="2"/>
        </w:numPr>
        <w:spacing w:after="40"/>
      </w:pPr>
      <w:r>
        <w:t xml:space="preserve">Contre-exemple immédiat : une rupture matière totale (u = 1) noyée dans 5 blocs sains donne une moyenne ≈ 0,17. Le tableau de bord dort pendant que l'usine brûle.</w:t>
      </w:r>
    </w:p>
    <w:p>
      <w:pPr>
        <w:pStyle w:val="ListParagraph"/>
        <w:numPr>
          <w:ilvl w:val="0"/>
          <w:numId w:val="2"/>
        </w:numPr>
        <w:spacing w:after="40"/>
      </w:pPr>
      <w:r>
        <w:t xml:space="preserve">Sémantique voulue : 6 détecteurs de fumée, dont un seul saturé doit suffire. Propriété prouvée : u = 1 sur un bloc de poids &gt; 0 implique Ur = 1.</w:t>
      </w:r>
    </w:p>
    <w:p>
      <w:pPr>
        <w:pStyle w:val="ListParagraph"/>
        <w:numPr>
          <w:ilvl w:val="0"/>
          <w:numId w:val="2"/>
        </w:numPr>
        <w:spacing w:after="40"/>
      </w:pPr>
      <w:r>
        <w:t xml:space="preserve">Autres propriétés testées : le OU domine chaque contribution individuelle, et il est croissant en chaque bloc.</w:t>
      </w:r>
    </w:p>
    <w:p>
      <w:pPr>
        <w:pStyle w:val="Heading3"/>
        <w:keepNext/>
        <w:spacing w:after="60" w:before="220"/>
      </w:pPr>
      <w:r>
        <w:rPr>
          <w:b/>
          <w:bCs/>
          <w:color w:val="C00000"/>
        </w:rPr>
        <w:t xml:space="preserve">[PIÈGE] </w:t>
      </w:r>
      <w:r>
        <w:rPr>
          <w:b/>
          <w:bCs/>
        </w:rPr>
        <w:t xml:space="preserve">Q3.4. « Une loi NORMALE pour un lead time ? Support négatif, pas d'asymétrie… »</w:t>
      </w:r>
    </w:p>
    <w:p>
      <w:pPr>
        <w:pStyle w:val="ListParagraph"/>
        <w:numPr>
          <w:ilvl w:val="0"/>
          <w:numId w:val="2"/>
        </w:numPr>
        <w:spacing w:after="40"/>
      </w:pPr>
      <w:r>
        <w:t xml:space="preserve">Dans le pipeline analytique, seule la fonction de survie P(L &gt; marge) est utilisée ; avec σ = 0,25μ par défaut, la masse négative est à 4 écarts-types, négligeable en pratique.</w:t>
      </w:r>
    </w:p>
    <w:p>
      <w:pPr>
        <w:pStyle w:val="ListParagraph"/>
        <w:numPr>
          <w:ilvl w:val="0"/>
          <w:numId w:val="2"/>
        </w:numPr>
        <w:spacing w:after="40"/>
      </w:pPr>
      <w:r>
        <w:t xml:space="preserve">Le module Monte Carlo fait mieux, et c'est déjà dans le code : lognormale par défaut (paramétrée par moments), normale tronquée à 0 en option (troncature par clip, biais documenté « jamais optimiste »), triangulaire si bornes fournies, déterministe si σ = 0.</w:t>
      </w:r>
    </w:p>
    <w:p>
      <w:pPr>
        <w:pStyle w:val="ListParagraph"/>
        <w:numPr>
          <w:ilvl w:val="0"/>
          <w:numId w:val="2"/>
        </w:numPr>
        <w:spacing w:after="40"/>
      </w:pPr>
      <w:r>
        <w:t xml:space="preserve">Validation croisée testée : sur un nœud isolé, le Monte Carlo retrouve la survie analytique (MC ↔ erf).</w:t>
      </w:r>
    </w:p>
    <w:p>
      <w:pPr>
        <w:pStyle w:val="ListParagraph"/>
        <w:numPr>
          <w:ilvl w:val="0"/>
          <w:numId w:val="2"/>
        </w:numPr>
        <w:spacing w:after="40"/>
      </w:pPr>
      <w:r>
        <w:t xml:space="preserve">Donc : critique anticipée. La réponse est dans le code, pas dans une promesse.</w:t>
      </w:r>
    </w:p>
    <w:p>
      <w:pPr>
        <w:pStyle w:val="Heading3"/>
        <w:keepNext/>
        <w:spacing w:after="60" w:before="220"/>
      </w:pPr>
      <w:r>
        <w:rPr>
          <w:b/>
          <w:bCs/>
        </w:rPr>
        <w:t xml:space="preserve">Q3.5. « σ = 0,25·μ par défaut, d'où ça sort ? »</w:t>
      </w:r>
    </w:p>
    <w:p>
      <w:pPr>
        <w:pStyle w:val="ListParagraph"/>
        <w:numPr>
          <w:ilvl w:val="0"/>
          <w:numId w:val="2"/>
        </w:numPr>
        <w:spacing w:after="40"/>
      </w:pPr>
      <w:r>
        <w:t xml:space="preserve">Un coefficient de variation par défaut, utilisé seulement si l'écart-type n'est pas renseigné. Dès que lead_time_std est mesuré, il prime.</w:t>
      </w:r>
    </w:p>
    <w:p>
      <w:pPr>
        <w:pStyle w:val="ListParagraph"/>
        <w:numPr>
          <w:ilvl w:val="0"/>
          <w:numId w:val="2"/>
        </w:numPr>
        <w:spacing w:after="40"/>
      </w:pPr>
      <w:r>
        <w:t xml:space="preserve">Ordre de grandeur plausible d'une variabilité industrielle ; surtout, choix documenté et remplaçable, pas une constante cachée.</w:t>
      </w:r>
    </w:p>
    <w:p>
      <w:pPr>
        <w:pStyle w:val="ListParagraph"/>
        <w:numPr>
          <w:ilvl w:val="0"/>
          <w:numId w:val="2"/>
        </w:numPr>
        <w:spacing w:after="40"/>
      </w:pPr>
      <w:r>
        <w:t xml:space="preserve">Cas limite défini : σ ≤ 0 conduit à un lead time déterministe (échelon).</w:t>
      </w:r>
    </w:p>
    <w:p>
      <w:pPr>
        <w:pStyle w:val="Heading3"/>
        <w:keepNext/>
        <w:spacing w:after="60" w:before="220"/>
      </w:pPr>
      <w:r>
        <w:rPr>
          <w:b/>
          <w:bCs/>
        </w:rPr>
        <w:t xml:space="preserve">Q3.6. « Comment traites-tu les KPIs manquants ? »</w:t>
      </w:r>
    </w:p>
    <w:p>
      <w:pPr>
        <w:pStyle w:val="ListParagraph"/>
        <w:numPr>
          <w:ilvl w:val="0"/>
          <w:numId w:val="2"/>
        </w:numPr>
        <w:spacing w:after="40"/>
      </w:pPr>
      <w:r>
        <w:t xml:space="preserve">Règle uniforme : un bloc incalculable est ignoré et les poids renormalisés sur les blocs présents. Ni 0 (optimisme), ni 1 (pessimisme) : agnosticisme.</w:t>
      </w:r>
    </w:p>
    <w:p>
      <w:pPr>
        <w:pStyle w:val="ListParagraph"/>
        <w:numPr>
          <w:ilvl w:val="0"/>
          <w:numId w:val="2"/>
        </w:numPr>
        <w:spacing w:after="40"/>
      </w:pPr>
      <w:r>
        <w:t xml:space="preserve">Même logique à l'intérieur d'un bloc (poids α, β renormalisés sur les termes calculables).</w:t>
      </w:r>
    </w:p>
    <w:p>
      <w:pPr>
        <w:pStyle w:val="ListParagraph"/>
        <w:numPr>
          <w:ilvl w:val="0"/>
          <w:numId w:val="2"/>
        </w:numPr>
        <w:spacing w:after="40"/>
      </w:pPr>
      <w:r>
        <w:t xml:space="preserve">Exception réfléchie : u_risk a des valeurs neutres par composante et ne devient absent que si tout son noyau manque.</w:t>
      </w:r>
    </w:p>
    <w:p>
      <w:pPr>
        <w:pStyle w:val="ListParagraph"/>
        <w:numPr>
          <w:ilvl w:val="0"/>
          <w:numId w:val="2"/>
        </w:numPr>
        <w:spacing w:after="40"/>
      </w:pPr>
      <w:r>
        <w:t xml:space="preserve">Tout est testé par propriétés. Et c'est une vraie différence avec le « remplir par zéro » qu'on voit souvent.</w:t>
      </w:r>
    </w:p>
    <w:p>
      <w:pPr>
        <w:pStyle w:val="Heading3"/>
        <w:keepNext/>
        <w:spacing w:after="60" w:before="220"/>
      </w:pPr>
      <w:r>
        <w:rPr>
          <w:b/>
          <w:bCs/>
        </w:rPr>
        <w:t xml:space="preserve">Q3.7. « Pourquoi 1 − e⁻ˣ pour le bloc risque ? »</w:t>
      </w:r>
    </w:p>
    <w:p>
      <w:pPr>
        <w:pStyle w:val="ListParagraph"/>
        <w:numPr>
          <w:ilvl w:val="0"/>
          <w:numId w:val="2"/>
        </w:numPr>
        <w:spacing w:after="40"/>
      </w:pPr>
      <w:r>
        <w:t xml:space="preserve">L'exposant x = p_défaillance × t_récupération × sévérité / T_ref est une espérance de temps d'indisponibilité pondérée par la gravité, normalisée par T_ref = 24 h.</w:t>
      </w:r>
    </w:p>
    <w:p>
      <w:pPr>
        <w:pStyle w:val="ListParagraph"/>
        <w:numPr>
          <w:ilvl w:val="0"/>
          <w:numId w:val="2"/>
        </w:numPr>
        <w:spacing w:after="40"/>
      </w:pPr>
      <w:r>
        <w:t xml:space="preserve">1 − e⁻ˣ = probabilité qu'un processus de Poisson d'intensité x produise au moins un événement : saturation douce, croissante, jamais de dépassement.</w:t>
      </w:r>
    </w:p>
    <w:p>
      <w:pPr>
        <w:pStyle w:val="ListParagraph"/>
        <w:numPr>
          <w:ilvl w:val="0"/>
          <w:numId w:val="2"/>
        </w:numPr>
        <w:spacing w:after="40"/>
      </w:pPr>
      <w:r>
        <w:t xml:space="preserve">Les expositions environnementale et politique se composent en OU probabiliste : chances indépendantes supplémentaires d'être en difficulté.</w:t>
      </w:r>
    </w:p>
    <w:p>
      <w:pPr>
        <w:pStyle w:val="Heading3"/>
        <w:keepNext/>
        <w:spacing w:after="60" w:before="220"/>
      </w:pPr>
      <w:r>
        <w:rPr>
          <w:b/>
          <w:bCs/>
        </w:rPr>
        <w:t xml:space="preserve">Q3.8. « u_time et u_risk se recouvrent : un fournisseur défaillant sera aussi en retard. Double comptage ? »</w:t>
      </w:r>
    </w:p>
    <w:p>
      <w:pPr>
        <w:pStyle w:val="ListParagraph"/>
        <w:numPr>
          <w:ilvl w:val="0"/>
          <w:numId w:val="2"/>
        </w:numPr>
        <w:spacing w:after="40"/>
      </w:pPr>
      <w:r>
        <w:t xml:space="preserve">Signaux distincts par construction : u_time = position face à l'échéance (marge, avancement du jalon) ; u_risk = exposition à la défaillance (probabilité, récupération, gravité).</w:t>
      </w:r>
    </w:p>
    <w:p>
      <w:pPr>
        <w:pStyle w:val="ListParagraph"/>
        <w:numPr>
          <w:ilvl w:val="0"/>
          <w:numId w:val="2"/>
        </w:numPr>
        <w:spacing w:after="40"/>
      </w:pPr>
      <w:r>
        <w:t xml:space="preserve">Les événements alimentent les deux canaux séparément et de façon auditée (un retard fournisseur touche le lead time ; une panne touche la probabilité de défaillance).</w:t>
      </w:r>
    </w:p>
    <w:p>
      <w:pPr>
        <w:pStyle w:val="ListParagraph"/>
        <w:numPr>
          <w:ilvl w:val="0"/>
          <w:numId w:val="2"/>
        </w:numPr>
        <w:spacing w:after="40"/>
      </w:pPr>
      <w:r>
        <w:t xml:space="preserve">Corrélation résiduelle possible : même réponse que Q3.1, surestimation conservatrice, atténuable par les poids ω.</w:t>
      </w:r>
    </w:p>
    <w:p>
      <w:pPr>
        <w:pStyle w:val="Heading3"/>
        <w:keepNext/>
        <w:spacing w:after="60" w:before="220"/>
      </w:pPr>
      <w:r>
        <w:rPr>
          <w:b/>
          <w:bCs/>
        </w:rPr>
        <w:t xml:space="preserve">Q3.9. « κ_retard = 0,5 &gt; κ_avance = 0,2 : pourquoi cette asymétrie ? »</w:t>
      </w:r>
    </w:p>
    <w:p>
      <w:pPr>
        <w:pStyle w:val="ListParagraph"/>
        <w:numPr>
          <w:ilvl w:val="0"/>
          <w:numId w:val="2"/>
        </w:numPr>
        <w:spacing w:after="40"/>
      </w:pPr>
      <w:r>
        <w:t xml:space="preserve">Asymétrie épistémique : un retard constaté (avancement déclaré sous le planning théorique) est un fait fiable ; une avance déclarée est une promesse, créditée prudemment.</w:t>
      </w:r>
    </w:p>
    <w:p>
      <w:pPr>
        <w:pStyle w:val="ListParagraph"/>
        <w:numPr>
          <w:ilvl w:val="0"/>
          <w:numId w:val="2"/>
        </w:numPr>
        <w:spacing w:after="40"/>
      </w:pPr>
      <w:r>
        <w:t xml:space="preserve">Forme additive volontaire : la contribution du glissement de planning reste isolable du socle probabiliste, un choix d'explicabilité.</w:t>
      </w:r>
    </w:p>
    <w:p>
      <w:pPr>
        <w:pStyle w:val="ListParagraph"/>
        <w:numPr>
          <w:ilvl w:val="0"/>
          <w:numId w:val="2"/>
        </w:numPr>
        <w:spacing w:after="40"/>
      </w:pPr>
      <w:r>
        <w:t xml:space="preserve">Valeurs = gouvernance recalibrable ; résultat toujours borné [0, 1].</w:t>
      </w:r>
    </w:p>
    <w:p>
      <w:pPr>
        <w:pStyle w:val="Heading1"/>
      </w:pPr>
      <w:r>
        <w:t xml:space="preserve">4. La propagation sur le graphe</w:t>
      </w:r>
    </w:p>
    <w:p>
      <w:pPr>
        <w:pBdr>
          <w:left w:val="single" w:color="8FAAB3" w:sz="12" w:space="8"/>
        </w:pBdr>
        <w:spacing w:after="140"/>
        <w:ind w:left="120"/>
      </w:pPr>
      <w:r>
        <w:rPr>
          <w:i/>
          <w:iCs/>
        </w:rPr>
        <w:t xml:space="preserve">Son réflexe de matheuse : convergence, hypothèses d'indépendance, calibration des coefficients.</w:t>
      </w:r>
    </w:p>
    <w:p>
      <w:pPr>
        <w:pStyle w:val="Heading3"/>
        <w:keepNext/>
        <w:spacing w:after="60" w:before="220"/>
      </w:pPr>
      <w:r>
        <w:rPr>
          <w:b/>
          <w:bCs/>
        </w:rPr>
        <w:t xml:space="preserve">Q4.1. « Les vraies chaînes ont des boucles (retours, rework, circularité). Pourquoi un DAG ? »</w:t>
      </w:r>
    </w:p>
    <w:p>
      <w:pPr>
        <w:pStyle w:val="ListParagraph"/>
        <w:numPr>
          <w:ilvl w:val="0"/>
          <w:numId w:val="2"/>
        </w:numPr>
        <w:spacing w:after="40"/>
      </w:pPr>
      <w:r>
        <w:t xml:space="preserve">Niveau d'abstraction choisi : le réseau projet/programme de dépendances de livraison, pas le flux matière fin. À ce niveau, les cycles sont rares et souvent des erreurs de saisie.</w:t>
      </w:r>
    </w:p>
    <w:p>
      <w:pPr>
        <w:pStyle w:val="ListParagraph"/>
        <w:numPr>
          <w:ilvl w:val="0"/>
          <w:numId w:val="2"/>
        </w:numPr>
        <w:spacing w:after="40"/>
      </w:pPr>
      <w:r>
        <w:t xml:space="preserve">L'outil refuse un arc créant un cycle, avec message explicite, avant toute écriture. Robustesse assumée.</w:t>
      </w:r>
    </w:p>
    <w:p>
      <w:pPr>
        <w:pStyle w:val="ListParagraph"/>
        <w:numPr>
          <w:ilvl w:val="0"/>
          <w:numId w:val="2"/>
        </w:numPr>
        <w:spacing w:after="40"/>
      </w:pPr>
      <w:r>
        <w:t xml:space="preserve">Si un cas réel l'exigeait : la structure à facteurs &lt; 1 se prête à une itération de point fixe. Piste identifiée, non implémentée ; bonne discussion à avoir avec elle.</w:t>
      </w:r>
    </w:p>
    <w:p>
      <w:pPr>
        <w:pStyle w:val="Heading3"/>
        <w:keepNext/>
        <w:spacing w:after="60" w:before="220"/>
      </w:pPr>
      <w:r>
        <w:rPr>
          <w:b/>
          <w:bCs/>
        </w:rPr>
        <w:t xml:space="preserve">Q4.2. « Une seule passe ? Pas de convergence à prouver ? »</w:t>
      </w:r>
    </w:p>
    <w:p>
      <w:pPr>
        <w:pStyle w:val="ListParagraph"/>
        <w:numPr>
          <w:ilvl w:val="0"/>
          <w:numId w:val="2"/>
        </w:numPr>
        <w:spacing w:after="40"/>
      </w:pPr>
      <w:r>
        <w:t xml:space="preserve">L'acyclicité et l'ordre topologique garantissent qu'une passe par direction suffit : chaque nœud est calculé après tous ses voisins requis. Pas d'itération, pas de critère d'arrêt : résultat exact et déterministe.</w:t>
      </w:r>
    </w:p>
    <w:p>
      <w:pPr>
        <w:pStyle w:val="ListParagraph"/>
        <w:numPr>
          <w:ilvl w:val="0"/>
          <w:numId w:val="2"/>
        </w:numPr>
        <w:spacing w:after="40"/>
      </w:pPr>
      <w:r>
        <w:t xml:space="preserve">Invariance à l'ordre d'insertion des nœuds : testée (propriété).</w:t>
      </w:r>
    </w:p>
    <w:p>
      <w:pPr>
        <w:pStyle w:val="ListParagraph"/>
        <w:numPr>
          <w:ilvl w:val="0"/>
          <w:numId w:val="2"/>
        </w:numPr>
        <w:spacing w:after="40"/>
      </w:pPr>
      <w:r>
        <w:t xml:space="preserve">Deux directions découplées : Ud descend (client vers fournisseurs), Ur monte (fournisseurs vers client), chacune linéaire en (nœuds + arcs) ; 12,5 ms à 1 000 nœuds.</w:t>
      </w:r>
    </w:p>
    <w:p>
      <w:pPr>
        <w:pStyle w:val="Heading3"/>
        <w:keepNext/>
        <w:spacing w:after="60" w:before="220"/>
      </w:pPr>
      <w:r>
        <w:rPr>
          <w:b/>
          <w:bCs/>
          <w:color w:val="C00000"/>
        </w:rPr>
        <w:t xml:space="preserve">[PIÈGE] </w:t>
      </w:r>
      <w:r>
        <w:rPr>
          <w:b/>
          <w:bCs/>
        </w:rPr>
        <w:t xml:space="preserve">Q4.3. « γ = β = 0,5 par défaut : calibrés comment ? »</w:t>
      </w:r>
    </w:p>
    <w:p>
      <w:pPr>
        <w:pStyle w:val="ListParagraph"/>
        <w:numPr>
          <w:ilvl w:val="0"/>
          <w:numId w:val="2"/>
        </w:numPr>
        <w:spacing w:after="40"/>
      </w:pPr>
      <w:r>
        <w:t xml:space="preserve">Réponse franche : des défauts neutres, éditables arc par arc, pas des valeurs calibrées.</w:t>
      </w:r>
    </w:p>
    <w:p>
      <w:pPr>
        <w:pStyle w:val="ListParagraph"/>
        <w:numPr>
          <w:ilvl w:val="0"/>
          <w:numId w:val="2"/>
        </w:numPr>
        <w:spacing w:after="40"/>
      </w:pPr>
      <w:r>
        <w:t xml:space="preserve">Sémantique claire et élicitable : fraction de l'urgence du voisin transmise (γ pour le besoin, β pour le risque). Un industriel peut l'estimer (part de dépendance, substituabilité).</w:t>
      </w:r>
    </w:p>
    <w:p>
      <w:pPr>
        <w:pStyle w:val="ListParagraph"/>
        <w:numPr>
          <w:ilvl w:val="0"/>
          <w:numId w:val="2"/>
        </w:numPr>
        <w:spacing w:after="40"/>
      </w:pPr>
      <w:r>
        <w:t xml:space="preserve">La calibration sur données constatées est exactement l'objet du serious game ; l'analyse de criticité (tornado) mesure déjà la sensibilité du réseau à chaque nœud.</w:t>
      </w:r>
    </w:p>
    <w:p>
      <w:pPr>
        <w:pStyle w:val="ListParagraph"/>
        <w:numPr>
          <w:ilvl w:val="0"/>
          <w:numId w:val="2"/>
        </w:numPr>
        <w:spacing w:after="40"/>
      </w:pPr>
      <w:r>
        <w:t xml:space="preserve">Ne pas survendre δ (criticité de choc) : porté par le modèle, réservé à la simulation, inutilisé par la propagation.</w:t>
      </w:r>
    </w:p>
    <w:p>
      <w:pPr>
        <w:pStyle w:val="Heading3"/>
        <w:keepNext/>
        <w:spacing w:after="60" w:before="220"/>
      </w:pPr>
      <w:r>
        <w:rPr>
          <w:b/>
          <w:bCs/>
        </w:rPr>
        <w:t xml:space="preserve">Q4.4. « Le produit sur les voisins suppose leurs urgences indépendantes. Un choc commun (région, matière) viole ça. »</w:t>
      </w:r>
    </w:p>
    <w:p>
      <w:pPr>
        <w:pStyle w:val="ListParagraph"/>
        <w:numPr>
          <w:ilvl w:val="0"/>
          <w:numId w:val="2"/>
        </w:numPr>
        <w:spacing w:after="40"/>
      </w:pPr>
      <w:r>
        <w:t xml:space="preserve">Même hypothèse noisy-OR que pour les blocs, même direction d'erreur : un choc commun corrélé conduit à une surestimation conservatrice.</w:t>
      </w:r>
    </w:p>
    <w:p>
      <w:pPr>
        <w:pStyle w:val="ListParagraph"/>
        <w:numPr>
          <w:ilvl w:val="0"/>
          <w:numId w:val="2"/>
        </w:numPr>
        <w:spacing w:after="40"/>
      </w:pPr>
      <w:r>
        <w:t xml:space="preserve">Le multi-chocs de la simulation permet justement d'étudier des chocs combinés sans hypothèse d'additivité.</w:t>
      </w:r>
    </w:p>
    <w:p>
      <w:pPr>
        <w:pStyle w:val="ListParagraph"/>
        <w:numPr>
          <w:ilvl w:val="0"/>
          <w:numId w:val="2"/>
        </w:numPr>
        <w:spacing w:after="40"/>
      </w:pPr>
      <w:r>
        <w:t xml:space="preserve">La non-additivité est documentée et testée : ΔUr(B ∪ C) ≠ ΔUr(B) + ΔUr(C). Propriété de saturation réaliste, assumée.</w:t>
      </w:r>
    </w:p>
    <w:p>
      <w:pPr>
        <w:pStyle w:val="Heading3"/>
        <w:keepNext/>
        <w:spacing w:after="60" w:before="220"/>
      </w:pPr>
      <w:r>
        <w:rPr>
          <w:b/>
          <w:bCs/>
        </w:rPr>
        <w:t xml:space="preserve">Q4.5. « Comment l'effet s'atténue-t-il avec la distance ? »</w:t>
      </w:r>
    </w:p>
    <w:p>
      <w:pPr>
        <w:pStyle w:val="ListParagraph"/>
        <w:numPr>
          <w:ilvl w:val="0"/>
          <w:numId w:val="2"/>
        </w:numPr>
        <w:spacing w:after="40"/>
      </w:pPr>
      <w:r>
        <w:t xml:space="preserve">Chaque traversée d'arc multiplie par un facteur ≤ 1 : atténuation géométrique naturelle avec le rang, conforme à l'effet ripple de la littérature.</w:t>
      </w:r>
    </w:p>
    <w:p>
      <w:pPr>
        <w:pStyle w:val="ListParagraph"/>
        <w:numPr>
          <w:ilvl w:val="0"/>
          <w:numId w:val="2"/>
        </w:numPr>
        <w:spacing w:after="40"/>
      </w:pPr>
      <w:r>
        <w:t xml:space="preserve">Exemple chiffré à connaître (cas de référence testé) : chaîne C→B→A, β = 0,5 puis 0,7, urgences locales (0,6 ; 0,3 ; 0,1), d'où Ur_B = 0,51 et Ur_A = 0,4213.</w:t>
      </w:r>
    </w:p>
    <w:p>
      <w:pPr>
        <w:pStyle w:val="Heading3"/>
        <w:keepNext/>
        <w:spacing w:after="60" w:before="220"/>
      </w:pPr>
      <w:r>
        <w:rPr>
          <w:b/>
          <w:bCs/>
        </w:rPr>
        <w:t xml:space="preserve">Q4.6. « Un nœud terminé (DONE) devrait couper la propagation, non ? »</w:t>
      </w:r>
    </w:p>
    <w:p>
      <w:pPr>
        <w:pStyle w:val="ListParagraph"/>
        <w:numPr>
          <w:ilvl w:val="0"/>
          <w:numId w:val="2"/>
        </w:numPr>
        <w:spacing w:after="40"/>
      </w:pPr>
      <w:r>
        <w:t xml:space="preserve">Décision de modélisation n°1, tranchée par écrit : un nœud DONE n'émet plus d'urgence propre (Ur local effectif = 0) mais transmet toujours. Le flux physique existe encore, l'aval reste exposé à l'amont (reprises, garanties, lots suivants).</w:t>
      </w:r>
    </w:p>
    <w:p>
      <w:pPr>
        <w:pStyle w:val="ListParagraph"/>
        <w:numPr>
          <w:ilvl w:val="0"/>
          <w:numId w:val="2"/>
        </w:numPr>
        <w:spacing w:after="40"/>
      </w:pPr>
      <w:r>
        <w:t xml:space="preserve">Pour isoler une branche : couper les arcs, pas marquer DONE. Conséquence opérationnelle documentée partout où le statut s'édite.</w:t>
      </w:r>
    </w:p>
    <w:p>
      <w:pPr>
        <w:pStyle w:val="ListParagraph"/>
        <w:numPr>
          <w:ilvl w:val="0"/>
          <w:numId w:val="2"/>
        </w:numPr>
        <w:spacing w:after="40"/>
      </w:pPr>
      <w:r>
        <w:t xml:space="preserve">Symétrique : ABANDONED transmet une urgence maximale (règle pessimiste, justifiée : périmètre contractuel non rempli).</w:t>
      </w:r>
    </w:p>
    <w:p>
      <w:pPr>
        <w:pStyle w:val="Heading1"/>
      </w:pPr>
      <w:r>
        <w:t xml:space="preserve">5. Le score d'adéquation A et la Prospect Theory</w:t>
      </w:r>
    </w:p>
    <w:p>
      <w:pPr>
        <w:pBdr>
          <w:left w:val="single" w:color="8FAAB3" w:sz="12" w:space="8"/>
        </w:pBdr>
        <w:spacing w:after="140"/>
        <w:ind w:left="120"/>
      </w:pPr>
      <w:r>
        <w:rPr>
          <w:i/>
          <w:iCs/>
        </w:rPr>
        <w:t xml:space="preserve">Le transfert des constantes de Kahneman-Tversky est le point le plus attaquable du modèle. Réponse en trois temps, à dérouler calmement.</w:t>
      </w:r>
    </w:p>
    <w:p>
      <w:pPr>
        <w:pStyle w:val="Heading3"/>
        <w:keepNext/>
        <w:spacing w:after="60" w:before="220"/>
      </w:pPr>
      <w:r>
        <w:rPr>
          <w:b/>
          <w:bCs/>
          <w:color w:val="C00000"/>
        </w:rPr>
        <w:t xml:space="preserve">[PIÈGE CENTRAL] </w:t>
      </w:r>
      <w:r>
        <w:rPr>
          <w:b/>
          <w:bCs/>
        </w:rPr>
        <w:t xml:space="preserve">Q5.1. « λ = 2,25 et α = 0,88 viennent de loteries monétaires individuelles. Quelle validité pour une supply chain ? »</w:t>
      </w:r>
    </w:p>
    <w:p>
      <w:pPr>
        <w:pStyle w:val="ListParagraph"/>
        <w:numPr>
          <w:ilvl w:val="0"/>
          <w:numId w:val="2"/>
        </w:numPr>
        <w:spacing w:after="40"/>
      </w:pPr>
      <w:r>
        <w:t xml:space="preserve">1. Le besoin métier est défendu indépendamment : sous-estimer (risque caché) doit coûter plus cher que surestimer (panique). La panique gaspille des ressources, le danger invisible fait découvrir la rupture trop tard. Toute fonction asymétrique avec λ_under &gt; λ_over porte ce message.</w:t>
      </w:r>
    </w:p>
    <w:p>
      <w:pPr>
        <w:pStyle w:val="ListParagraph"/>
        <w:numPr>
          <w:ilvl w:val="0"/>
          <w:numId w:val="2"/>
        </w:numPr>
        <w:spacing w:after="40"/>
      </w:pPr>
      <w:r>
        <w:t xml:space="preserve">2. Le choix des valeurs : emprunter les constantes mesurées par Tversky et Kahneman (1992) donne un point de départ non arbitraire et documenté, plutôt qu'un réglage maison. C'est un emprunt de forme fonctionnelle assumé, pas une prétention de validité psychométrique transférée.</w:t>
      </w:r>
    </w:p>
    <w:p>
      <w:pPr>
        <w:pStyle w:val="ListParagraph"/>
        <w:numPr>
          <w:ilvl w:val="0"/>
          <w:numId w:val="2"/>
        </w:numPr>
        <w:spacing w:after="40"/>
      </w:pPr>
      <w:r>
        <w:t xml:space="preserve">3. Recalibrage prévu : λ et α sont des paramètres de gouvernance explicites ; le serious game et le module calibration prédiction/réalité serviront à les recaler. λ peut même être fixé par la direction comme appétence au risque, plutôt qu'estimé.</w:t>
      </w:r>
    </w:p>
    <w:p>
      <w:pPr>
        <w:pStyle w:val="ListParagraph"/>
        <w:numPr>
          <w:ilvl w:val="0"/>
          <w:numId w:val="2"/>
        </w:numPr>
        <w:spacing w:after="40"/>
      </w:pPr>
      <w:r>
        <w:t xml:space="preserve">Argument de robustesse : l'ordre des pénalités (sous-estimation pire que surestimation) tient pour tout λ_under &gt; λ_over. La conclusion qualitative ne dépend pas de la valeur exacte 2,25.</w:t>
      </w:r>
    </w:p>
    <w:p>
      <w:pPr>
        <w:pStyle w:val="ListParagraph"/>
        <w:numPr>
          <w:ilvl w:val="0"/>
          <w:numId w:val="2"/>
        </w:numPr>
        <w:spacing w:after="40"/>
      </w:pPr>
      <w:r>
        <w:t xml:space="preserve">Chiffre choc : à écart maximal, A = 29,3 si on panique pour rien, A = 0 si on ne voit pas le danger.</w:t>
      </w:r>
    </w:p>
    <w:p>
      <w:pPr>
        <w:pStyle w:val="Heading3"/>
        <w:keepNext/>
        <w:spacing w:after="60" w:before="220"/>
      </w:pPr>
      <w:r>
        <w:rPr>
          <w:b/>
          <w:bCs/>
          <w:color w:val="C00000"/>
        </w:rPr>
        <w:t xml:space="preserve">[TECHNIQUE] </w:t>
      </w:r>
      <w:r>
        <w:rPr>
          <w:b/>
          <w:bCs/>
        </w:rPr>
        <w:t xml:space="preserve">Q5.2. « Pourquoi cette forme e⁻ᵖᵉⁿᵃˡᵗᵉ puis normalisation ? »</w:t>
      </w:r>
    </w:p>
    <w:p>
      <w:pPr>
        <w:pStyle w:val="ListParagraph"/>
        <w:numPr>
          <w:ilvl w:val="0"/>
          <w:numId w:val="2"/>
        </w:numPr>
        <w:spacing w:after="40"/>
      </w:pPr>
      <w:r>
        <w:t xml:space="preserve">Pénalité = fonction de valeur de Prospect Theory sur l'écart : courbure x^α (sensibilité décroissante : passer de 0 à 0,1 d'écart pèse plus que de 0,8 à 0,9) plus asymétrie λ.</w:t>
      </w:r>
    </w:p>
    <w:p>
      <w:pPr>
        <w:pStyle w:val="ListParagraph"/>
        <w:numPr>
          <w:ilvl w:val="0"/>
          <w:numId w:val="2"/>
        </w:numPr>
        <w:spacing w:after="40"/>
      </w:pPr>
      <w:r>
        <w:t xml:space="preserve">L'exponentielle ramène une pénalité positive non bornée dans (0, 1] ; la normalisation affine (soustraction du plancher, division par l'amplitude) étire exactement sur [0, 100].</w:t>
      </w:r>
    </w:p>
    <w:p>
      <w:pPr>
        <w:pStyle w:val="ListParagraph"/>
        <w:numPr>
          <w:ilvl w:val="0"/>
          <w:numId w:val="2"/>
        </w:numPr>
        <w:spacing w:after="40"/>
      </w:pPr>
      <w:r>
        <w:t xml:space="preserve">Garanties prouvées : A = 100 si et seulement si Ud = Ur ; A = 0 atteint exactement à l'écart maximal dans la direction la plus pénalisée ; A ∈ [0, 100] toujours.</w:t>
      </w:r>
    </w:p>
    <w:p>
      <w:pPr>
        <w:pStyle w:val="Heading3"/>
        <w:keepNext/>
        <w:spacing w:after="60" w:before="220"/>
      </w:pPr>
      <w:r>
        <w:rPr>
          <w:b/>
          <w:bCs/>
        </w:rPr>
        <w:t xml:space="preserve">Q5.3. « F et H peuvent-ils coexister ? Que valent-ils mathématiquement ? »</w:t>
      </w:r>
    </w:p>
    <w:p>
      <w:pPr>
        <w:pStyle w:val="ListParagraph"/>
        <w:numPr>
          <w:ilvl w:val="0"/>
          <w:numId w:val="2"/>
        </w:numPr>
        <w:spacing w:after="40"/>
      </w:pPr>
      <w:r>
        <w:t xml:space="preserve">F = [Ud − Ur]₊ (fausse urgence), H = [Ur − Ud]₊ (risque caché) : parts positives de l'écart.</w:t>
      </w:r>
    </w:p>
    <w:p>
      <w:pPr>
        <w:pStyle w:val="ListParagraph"/>
        <w:numPr>
          <w:ilvl w:val="0"/>
          <w:numId w:val="2"/>
        </w:numPr>
        <w:spacing w:after="40"/>
      </w:pPr>
      <w:r>
        <w:t xml:space="preserve">Quatre propriétés testées : F ≥ 0, H ≥ 0, F·H = 0 (jamais les deux à la fois sur un nœud), F − H = Ud − Ur exactement.</w:t>
      </w:r>
    </w:p>
    <w:p>
      <w:pPr>
        <w:pStyle w:val="ListParagraph"/>
        <w:numPr>
          <w:ilvl w:val="0"/>
          <w:numId w:val="2"/>
        </w:numPr>
        <w:spacing w:after="40"/>
      </w:pPr>
      <w:r>
        <w:t xml:space="preserve">Au niveau du réseau en revanche, H et F coexistent entre nœuds : c'est le tableau final du scénario AERIS, 1 risque caché (PowerChip) au milieu de 6 fausses urgences. « Le seul vrai danger est là où personne ne crie. »</w:t>
      </w:r>
    </w:p>
    <w:p>
      <w:pPr>
        <w:pStyle w:val="Heading3"/>
        <w:keepNext/>
        <w:spacing w:after="60" w:before="220"/>
      </w:pPr>
      <w:r>
        <w:rPr>
          <w:b/>
          <w:bCs/>
          <w:color w:val="C00000"/>
        </w:rPr>
        <w:t xml:space="preserve">[TECHNIQUE] </w:t>
      </w:r>
      <w:r>
        <w:rPr>
          <w:b/>
          <w:bCs/>
        </w:rPr>
        <w:t xml:space="preserve">Q5.4. « Ur peut dépasser 1 ? Ton score est défini où, exactement ? »</w:t>
      </w:r>
    </w:p>
    <w:p>
      <w:pPr>
        <w:pStyle w:val="ListParagraph"/>
        <w:numPr>
          <w:ilvl w:val="0"/>
          <w:numId w:val="2"/>
        </w:numPr>
        <w:spacing w:after="40"/>
      </w:pPr>
      <w:r>
        <w:t xml:space="preserve">Pipeline standard : tout est borné [0, 1]. Une seule source possible de Ur &gt; 1 : l'urgence à singularité finie (Sornette-Johansen), fonction auxiliaire hors pipeline, utilisée pour des scénarios simulés.</w:t>
      </w:r>
    </w:p>
    <w:p>
      <w:pPr>
        <w:pStyle w:val="ListParagraph"/>
        <w:numPr>
          <w:ilvl w:val="0"/>
          <w:numId w:val="2"/>
        </w:numPr>
        <w:spacing w:after="40"/>
      </w:pPr>
      <w:r>
        <w:t xml:space="preserve">Le contrat du score accepte Ur &gt; 1 : pénalité &gt; plafond, donc A = 0 (plancher). Comportement défini, pas un débordement.</w:t>
      </w:r>
    </w:p>
    <w:p>
      <w:pPr>
        <w:pStyle w:val="ListParagraph"/>
        <w:numPr>
          <w:ilvl w:val="0"/>
          <w:numId w:val="2"/>
        </w:numPr>
        <w:spacing w:after="40"/>
      </w:pPr>
      <w:r>
        <w:t xml:space="preserve">Domaines écrits dans la spec : Ud ∈ [0, 1], Ur ≥ 0.</w:t>
      </w:r>
    </w:p>
    <w:p>
      <w:pPr>
        <w:pStyle w:val="Heading3"/>
        <w:keepNext/>
        <w:spacing w:after="60" w:before="220"/>
      </w:pPr>
      <w:r>
        <w:rPr>
          <w:b/>
          <w:bCs/>
        </w:rPr>
        <w:t xml:space="preserve">Q5.5. « Pourquoi pas une simple distance |Ud − Ur| ? »</w:t>
      </w:r>
    </w:p>
    <w:p>
      <w:pPr>
        <w:pStyle w:val="ListParagraph"/>
        <w:numPr>
          <w:ilvl w:val="0"/>
          <w:numId w:val="2"/>
        </w:numPr>
        <w:spacing w:after="40"/>
      </w:pPr>
      <w:r>
        <w:t xml:space="preserve">Elle existe dans le code comme mesure naïve de contrôle (1 − min(|Ud − Ur|, 1)).</w:t>
      </w:r>
    </w:p>
    <w:p>
      <w:pPr>
        <w:pStyle w:val="ListParagraph"/>
        <w:numPr>
          <w:ilvl w:val="0"/>
          <w:numId w:val="2"/>
        </w:numPr>
        <w:spacing w:after="40"/>
      </w:pPr>
      <w:r>
        <w:t xml:space="preserve">Mais la symétrie raterait LE message : les deux erreurs n'ont pas le même prix. L'asymétrie est le cœur de la gouvernance, pas une fioriture.</w:t>
      </w:r>
    </w:p>
    <w:p>
      <w:pPr>
        <w:pStyle w:val="Heading1"/>
      </w:pPr>
      <w:r>
        <w:t xml:space="preserve">6. Événements et calibration bayésienne</w:t>
      </w:r>
    </w:p>
    <w:p>
      <w:pPr>
        <w:pBdr>
          <w:left w:val="single" w:color="8FAAB3" w:sz="12" w:space="8"/>
        </w:pBdr>
        <w:spacing w:after="140"/>
        <w:ind w:left="120"/>
      </w:pPr>
      <w:r>
        <w:rPr>
          <w:i/>
          <w:iCs/>
        </w:rPr>
        <w:t xml:space="preserve">Ton terrain le plus solide : conjugaison exacte, propriétés testées. Assumer franchement la subjectivité des pseudo-comptes.</w:t>
      </w:r>
    </w:p>
    <w:p>
      <w:pPr>
        <w:pStyle w:val="Heading3"/>
        <w:keepNext/>
        <w:spacing w:after="60" w:before="220"/>
      </w:pPr>
      <w:r>
        <w:rPr>
          <w:b/>
          <w:bCs/>
          <w:color w:val="C00000"/>
        </w:rPr>
        <w:t xml:space="preserve">[TECHNIQUE] </w:t>
      </w:r>
      <w:r>
        <w:rPr>
          <w:b/>
          <w:bCs/>
        </w:rPr>
        <w:t xml:space="preserve">Q6.1. « Ta révision bayésienne : quel modèle exactement ? »</w:t>
      </w:r>
    </w:p>
    <w:p>
      <w:pPr>
        <w:pStyle w:val="ListParagraph"/>
        <w:numPr>
          <w:ilvl w:val="0"/>
          <w:numId w:val="2"/>
        </w:numPr>
        <w:spacing w:after="40"/>
      </w:pPr>
      <w:r>
        <w:t xml:space="preserve">Conjugaison Beta-Bernoulli standard : prior Beta(p·N₀, (1−p)·N₀), événement = k défaillances sur n essais, moyenne a posteriori exacte (p·N₀ + k)/(N₀ + n).</w:t>
      </w:r>
    </w:p>
    <w:p>
      <w:pPr>
        <w:pStyle w:val="ListParagraph"/>
        <w:numPr>
          <w:ilvl w:val="0"/>
          <w:numId w:val="2"/>
        </w:numPr>
        <w:spacing w:after="40"/>
      </w:pPr>
      <w:r>
        <w:t xml:space="preserve">Sémantique auditable, écrite en clair dans chaque impact : « cet événement équivaut à observer k défaillances sur n essais ». k fractionnaire autorisé (demi-défaillance pour un incident mineur).</w:t>
      </w:r>
    </w:p>
    <w:p>
      <w:pPr>
        <w:pStyle w:val="ListParagraph"/>
        <w:numPr>
          <w:ilvl w:val="0"/>
          <w:numId w:val="2"/>
        </w:numPr>
        <w:spacing w:after="40"/>
      </w:pPr>
      <w:r>
        <w:t xml:space="preserve">Bornes [10⁻⁴, 0,99] : interdire 0 et 1, car une probabilité certaine ne se révise plus jamais (verrou bayésien).</w:t>
      </w:r>
    </w:p>
    <w:p>
      <w:pPr>
        <w:pStyle w:val="ListParagraph"/>
        <w:numPr>
          <w:ilvl w:val="0"/>
          <w:numId w:val="2"/>
        </w:numPr>
        <w:spacing w:after="40"/>
      </w:pPr>
      <w:r>
        <w:t xml:space="preserve">Point fixe vérifié par test : k/n = p laisse p inchangé. L'événement qui confirme le prior ne le déplace pas.</w:t>
      </w:r>
    </w:p>
    <w:p>
      <w:pPr>
        <w:pStyle w:val="Heading3"/>
        <w:keepNext/>
        <w:spacing w:after="60" w:before="220"/>
      </w:pPr>
      <w:r>
        <w:rPr>
          <w:b/>
          <w:bCs/>
        </w:rPr>
        <w:t xml:space="preserve">Q6.2. « N₀ = 26 : pourquoi ? »</w:t>
      </w:r>
    </w:p>
    <w:p>
      <w:pPr>
        <w:pStyle w:val="ListParagraph"/>
        <w:numPr>
          <w:ilvl w:val="0"/>
          <w:numId w:val="2"/>
        </w:numPr>
        <w:spacing w:after="40"/>
      </w:pPr>
      <w:r>
        <w:t xml:space="preserve">Poids du prior ≈ 6 mois d'observations hebdomadaires : mémoire courte mais pas amnésique. Un événement isolé déplace la probabilité sans l'écraser, la décroissance hebdomadaire reste douce.</w:t>
      </w:r>
    </w:p>
    <w:p>
      <w:pPr>
        <w:pStyle w:val="ListParagraph"/>
        <w:numPr>
          <w:ilvl w:val="0"/>
          <w:numId w:val="2"/>
        </w:numPr>
        <w:spacing w:after="40"/>
      </w:pPr>
      <w:r>
        <w:t xml:space="preserve">Exemples de tête : p = 0,02 plus panne majeure (k = 1, n = 1) donne 0,0563 ; une semaine calme donne 0,0193.</w:t>
      </w:r>
    </w:p>
    <w:p>
      <w:pPr>
        <w:pStyle w:val="ListParagraph"/>
        <w:numPr>
          <w:ilvl w:val="0"/>
          <w:numId w:val="2"/>
        </w:numPr>
        <w:spacing w:after="40"/>
      </w:pPr>
      <w:r>
        <w:t xml:space="preserve">Statut : choix de gouvernance recalibrable, PAS une vérité mesurée. C'est écrit dans les limites honnêtes (Annexe B).</w:t>
      </w:r>
    </w:p>
    <w:p>
      <w:pPr>
        <w:pStyle w:val="Heading3"/>
        <w:keepNext/>
        <w:spacing w:after="60" w:before="220"/>
      </w:pPr>
      <w:r>
        <w:rPr>
          <w:b/>
          <w:bCs/>
        </w:rPr>
        <w:t xml:space="preserve">Q6.3. « Les équivalences k/n par gravité (mineure = 0,5/1, critique = 2/2) sont arbitraires. »</w:t>
      </w:r>
    </w:p>
    <w:p>
      <w:pPr>
        <w:pStyle w:val="ListParagraph"/>
        <w:numPr>
          <w:ilvl w:val="0"/>
          <w:numId w:val="2"/>
        </w:numPr>
        <w:spacing w:after="40"/>
      </w:pPr>
      <w:r>
        <w:t xml:space="preserve">Oui : subjectives mais explicites, homogènes et auditables. Toute la table est dans le code, vérifiée par tests, et chaque impact écrit sa règle en français dans le journal d'audit.</w:t>
      </w:r>
    </w:p>
    <w:p>
      <w:pPr>
        <w:pStyle w:val="ListParagraph"/>
        <w:numPr>
          <w:ilvl w:val="0"/>
          <w:numId w:val="2"/>
        </w:numPr>
        <w:spacing w:after="40"/>
      </w:pPr>
      <w:r>
        <w:t xml:space="preserve">L'alternative réaliste n'est pas « mesurer » (pas de données), c'est cacher le choix dans un coefficient. Ici le choix est en clair.</w:t>
      </w:r>
    </w:p>
    <w:p>
      <w:pPr>
        <w:pStyle w:val="ListParagraph"/>
        <w:numPr>
          <w:ilvl w:val="0"/>
          <w:numId w:val="2"/>
        </w:numPr>
        <w:spacing w:after="40"/>
      </w:pPr>
      <w:r>
        <w:t xml:space="preserve">Le serious game produira les premières données pour recaler ces pseudo-comptes.</w:t>
      </w:r>
    </w:p>
    <w:p>
      <w:pPr>
        <w:pStyle w:val="Heading3"/>
        <w:keepNext/>
        <w:spacing w:after="60" w:before="220"/>
      </w:pPr>
      <w:r>
        <w:rPr>
          <w:b/>
          <w:bCs/>
        </w:rPr>
        <w:t xml:space="preserve">Q6.4. « Quatre opérateurs différents (BAYES, EMA, DIRECT, CLIQUET). Pourquoi cette hétérogénéité ? »</w:t>
      </w:r>
    </w:p>
    <w:p>
      <w:pPr>
        <w:pStyle w:val="ListParagraph"/>
        <w:numPr>
          <w:ilvl w:val="0"/>
          <w:numId w:val="2"/>
        </w:numPr>
        <w:spacing w:after="40"/>
      </w:pPr>
      <w:r>
        <w:t xml:space="preserve">Chaque KPI a sa physique : une probabilité se révise (Bayes) ; une grandeur bruitée se lisse (EMA, réactivité 0,3–0,5 selon le KPI) ; un fait signé remplace (DIRECT : nouveau tarif) ; une exposition ne redescend pas spontanément (CLIQUET : max, pour le risque politique ou la sévérité).</w:t>
      </w:r>
    </w:p>
    <w:p>
      <w:pPr>
        <w:pStyle w:val="ListParagraph"/>
        <w:numPr>
          <w:ilvl w:val="0"/>
          <w:numId w:val="2"/>
        </w:numPr>
        <w:spacing w:after="40"/>
      </w:pPr>
      <w:r>
        <w:t xml:space="preserve">L'hétérogénéité est une fidélité au terrain : un opérateur unique serait élégant et faux.</w:t>
      </w:r>
    </w:p>
    <w:p>
      <w:pPr>
        <w:pStyle w:val="ListParagraph"/>
        <w:numPr>
          <w:ilvl w:val="0"/>
          <w:numId w:val="2"/>
        </w:numPr>
        <w:spacing w:after="40"/>
      </w:pPr>
      <w:r>
        <w:t xml:space="preserve">Tout impact est borné par les contraintes de domaine du KPI et journalisé.</w:t>
      </w:r>
    </w:p>
    <w:p>
      <w:pPr>
        <w:pStyle w:val="Heading3"/>
        <w:keepNext/>
        <w:spacing w:after="60" w:before="220"/>
      </w:pPr>
      <w:r>
        <w:rPr>
          <w:b/>
          <w:bCs/>
        </w:rPr>
        <w:t xml:space="preserve">Q6.5. « Ta décroissance hebdomadaire est-elle cohérente avec ta révision ? »</w:t>
      </w:r>
    </w:p>
    <w:p>
      <w:pPr>
        <w:pStyle w:val="ListParagraph"/>
        <w:numPr>
          <w:ilvl w:val="0"/>
          <w:numId w:val="2"/>
        </w:numPr>
        <w:spacing w:after="40"/>
      </w:pPr>
      <w:r>
        <w:t xml:space="preserve">Même opérateur, pas de demi-vie ad hoc : une semaine sans défaillance = BAYES(p, k = 0, n = 1), une observation favorable qui érode doucement.</w:t>
      </w:r>
    </w:p>
    <w:p>
      <w:pPr>
        <w:pStyle w:val="ListParagraph"/>
        <w:numPr>
          <w:ilvl w:val="0"/>
          <w:numId w:val="2"/>
        </w:numPr>
        <w:spacing w:after="40"/>
      </w:pPr>
      <w:r>
        <w:t xml:space="preserve">Cohérence interne totale : le même cadre bayésien monte et descend ; jamais sous 10⁻⁴ (le risque ne disparaît jamais complètement).</w:t>
      </w:r>
    </w:p>
    <w:p>
      <w:pPr>
        <w:pStyle w:val="Heading1"/>
      </w:pPr>
      <w:r>
        <w:t xml:space="preserve">7. Validation et portée des résultats</w:t>
      </w:r>
    </w:p>
    <w:p>
      <w:pPr>
        <w:pBdr>
          <w:left w:val="single" w:color="8FAAB3" w:sz="12" w:space="8"/>
        </w:pBdr>
        <w:spacing w:after="140"/>
        <w:ind w:left="120"/>
      </w:pPr>
      <w:r>
        <w:rPr>
          <w:i/>
          <w:iCs/>
        </w:rPr>
        <w:t xml:space="preserve">C'est SA question annoncée (« la portée de leurs résultats »). La réponse en trois étages départage les vendeurs des scientifiques ; la dérouler sans en sauter.</w:t>
      </w:r>
    </w:p>
    <w:p>
      <w:pPr>
        <w:pStyle w:val="Heading3"/>
        <w:keepNext/>
        <w:spacing w:after="60" w:before="220"/>
      </w:pPr>
      <w:r>
        <w:rPr>
          <w:b/>
          <w:bCs/>
          <w:color w:val="C00000"/>
        </w:rPr>
        <w:t xml:space="preserve">[CENTRAL] </w:t>
      </w:r>
      <w:r>
        <w:rPr>
          <w:b/>
          <w:bCs/>
        </w:rPr>
        <w:t xml:space="preserve">Q7.1. « Quelle est la portée de tes résultats ? Tes données sont simulées ! »</w:t>
      </w:r>
    </w:p>
    <w:p>
      <w:pPr>
        <w:pStyle w:val="ListParagraph"/>
        <w:numPr>
          <w:ilvl w:val="0"/>
          <w:numId w:val="2"/>
        </w:numPr>
        <w:spacing w:after="40"/>
      </w:pPr>
      <w:r>
        <w:t xml:space="preserve">Étage 1, validation interne (faite) : 1 592 tests dont des tests de propriétés mathématiques (bornes, monotonies, invariants, cas limites), table de cas de référence recalculés à la main contre le code, couverture 94,1 % avec seuil bloquant. Quatre vrais bugs trouvés par ces tests : preuve que la méthode mord.</w:t>
      </w:r>
    </w:p>
    <w:p>
      <w:pPr>
        <w:pStyle w:val="ListParagraph"/>
        <w:numPr>
          <w:ilvl w:val="0"/>
          <w:numId w:val="2"/>
        </w:numPr>
        <w:spacing w:after="40"/>
      </w:pPr>
      <w:r>
        <w:t xml:space="preserve">Étage 2, validation comportementale (faite, sur simulé) : scénarios scriptés où le modèle reproduit les pathologies attendues. Sous-déclaration : H s'installe. Panique du client : F se diffuse. Données simulées annoncées comme telles, toujours.</w:t>
      </w:r>
    </w:p>
    <w:p>
      <w:pPr>
        <w:pStyle w:val="ListParagraph"/>
        <w:numPr>
          <w:ilvl w:val="0"/>
          <w:numId w:val="2"/>
        </w:numPr>
        <w:spacing w:after="40"/>
      </w:pPr>
      <w:r>
        <w:t xml:space="preserve">Étage 3, validation externe (à venir, déjà outillée) : le serious game réel est le banc d'essai ; le module de calibration prédiction/réalité existe déjà (confrontation a posteriori des H aux ruptures constatées).</w:t>
      </w:r>
    </w:p>
    <w:p>
      <w:pPr>
        <w:pStyle w:val="ListParagraph"/>
        <w:numPr>
          <w:ilvl w:val="0"/>
          <w:numId w:val="2"/>
        </w:numPr>
        <w:spacing w:after="40"/>
      </w:pPr>
      <w:r>
        <w:t xml:space="preserve">Phrase d'honnêteté à prononcer : « à ce jour, je démontre la cohérence interne et la plausibilité comportementale, pas la validité prédictive terrain. C'est l'étape suivante, et elle est outillée. »</w:t>
      </w:r>
    </w:p>
    <w:p>
      <w:pPr>
        <w:pStyle w:val="Heading3"/>
        <w:keepNext/>
        <w:spacing w:after="60" w:before="220"/>
      </w:pPr>
      <w:r>
        <w:rPr>
          <w:b/>
          <w:bCs/>
        </w:rPr>
        <w:t xml:space="preserve">Q7.2. « Ton protocole de serious game ? Quels biais ? »</w:t>
      </w:r>
    </w:p>
    <w:p>
      <w:pPr>
        <w:pStyle w:val="ListParagraph"/>
        <w:numPr>
          <w:ilvl w:val="0"/>
          <w:numId w:val="2"/>
        </w:numPr>
        <w:spacing w:after="40"/>
      </w:pPr>
      <w:r>
        <w:t xml:space="preserve">Dispositif : plusieurs joueurs identifiés sur un poste, temps compressé (horloge de jeu, « avancer d'une semaine »), toutes les saisies et décisions tracées avec instantané des scores au moment de la décision.</w:t>
      </w:r>
    </w:p>
    <w:p>
      <w:pPr>
        <w:pStyle w:val="ListParagraph"/>
        <w:numPr>
          <w:ilvl w:val="0"/>
          <w:numId w:val="2"/>
        </w:numPr>
        <w:spacing w:after="40"/>
      </w:pPr>
      <w:r>
        <w:t xml:space="preserve">Mesure de sortie : le rapport de calibration. Les ruptures survenues dans le jeu étaient-elles précédées d'un H élevé ? Les F ont-elles coûté des décisions inutiles ?</w:t>
      </w:r>
    </w:p>
    <w:p>
      <w:pPr>
        <w:pStyle w:val="ListParagraph"/>
        <w:numPr>
          <w:ilvl w:val="0"/>
          <w:numId w:val="2"/>
        </w:numPr>
        <w:spacing w:after="40"/>
      </w:pPr>
      <w:r>
        <w:t xml:space="preserve">Biais à reconnaître spontanément (en parler avant elle) : effet d'observation, joueurs non représentatifs, temps compressé qui change les comportements. Le jeu valide la mécanique et calibre les paramètres ; il ne remplace pas un déploiement réel.</w:t>
      </w:r>
    </w:p>
    <w:p>
      <w:pPr>
        <w:pStyle w:val="Heading3"/>
        <w:keepNext/>
        <w:spacing w:after="60" w:before="220"/>
      </w:pPr>
      <w:r>
        <w:rPr>
          <w:b/>
          <w:bCs/>
        </w:rPr>
        <w:t xml:space="preserve">Q7.3. « As-tu fait une analyse de sensibilité systématique aux hyperparamètres ? »</w:t>
      </w:r>
    </w:p>
    <w:p>
      <w:pPr>
        <w:pStyle w:val="ListParagraph"/>
        <w:numPr>
          <w:ilvl w:val="0"/>
          <w:numId w:val="2"/>
        </w:numPr>
        <w:spacing w:after="40"/>
      </w:pPr>
      <w:r>
        <w:t xml:space="preserve">Ce qui existe : monotonies et bornes prouvées par tests de propriétés (la direction de l'effet de chaque paramètre est garantie) ; analyse de criticité par nœud (tornado) ; Monte Carlo avec IC95 sur u_time.</w:t>
      </w:r>
    </w:p>
    <w:p>
      <w:pPr>
        <w:pStyle w:val="ListParagraph"/>
        <w:numPr>
          <w:ilvl w:val="0"/>
          <w:numId w:val="2"/>
        </w:numPr>
        <w:spacing w:after="40"/>
      </w:pPr>
      <w:r>
        <w:t xml:space="preserve">Ce qui n'existe pas : un balayage systématique type Sobol/Morris de (λ, α, ρ, N₀, γ, β, κ). Réponse honnête : « non, et c'est une très bonne suggestion ; la structure du code le permet directement (tous les paramètres sont injectables) ».</w:t>
      </w:r>
    </w:p>
    <w:p>
      <w:pPr>
        <w:pStyle w:val="ListParagraph"/>
        <w:numPr>
          <w:ilvl w:val="0"/>
          <w:numId w:val="2"/>
        </w:numPr>
        <w:spacing w:after="40"/>
      </w:pPr>
      <w:r>
        <w:t xml:space="preserve">Robustesse qualitative à faire valoir : les conclusions ordinales (qui est pire que qui, H pire que F) tiennent sur des plages larges, par construction (monotonies).</w:t>
      </w:r>
    </w:p>
    <w:p>
      <w:pPr>
        <w:pStyle w:val="Heading3"/>
        <w:keepNext/>
        <w:spacing w:after="60" w:before="220"/>
      </w:pPr>
      <w:r>
        <w:rPr>
          <w:b/>
          <w:bCs/>
          <w:color w:val="C00000"/>
        </w:rPr>
        <w:t xml:space="preserve">[PIÈGE] </w:t>
      </w:r>
      <w:r>
        <w:rPr>
          <w:b/>
          <w:bCs/>
        </w:rPr>
        <w:t xml:space="preserve">Q7.4. « Avec si peu de données réelles, tes paramètres sont-ils identifiables ? »</w:t>
      </w:r>
    </w:p>
    <w:p>
      <w:pPr>
        <w:pStyle w:val="ListParagraph"/>
        <w:numPr>
          <w:ilvl w:val="0"/>
          <w:numId w:val="2"/>
        </w:numPr>
        <w:spacing w:after="40"/>
      </w:pPr>
      <w:r>
        <w:t xml:space="preserve">Non, pas tous. Et il ne faut pas prétendre les recalibrer tous : la stratégie est de hiérarchiser.</w:t>
      </w:r>
    </w:p>
    <w:p>
      <w:pPr>
        <w:pStyle w:val="ListParagraph"/>
        <w:numPr>
          <w:ilvl w:val="0"/>
          <w:numId w:val="2"/>
        </w:numPr>
        <w:spacing w:after="40"/>
      </w:pPr>
      <w:r>
        <w:t xml:space="preserve">Priorités : λ (gouvernance, qui peut être fixé par la direction comme appétence au risque plutôt qu'estimé), γ/β des arcs critiques (élicitables par les industriels), N₀ et les pseudo-comptes (premières données du jeu).</w:t>
      </w:r>
    </w:p>
    <w:p>
      <w:pPr>
        <w:pStyle w:val="ListParagraph"/>
        <w:numPr>
          <w:ilvl w:val="0"/>
          <w:numId w:val="2"/>
        </w:numPr>
        <w:spacing w:after="40"/>
      </w:pPr>
      <w:r>
        <w:t xml:space="preserve">Beaucoup de paramètres ont un sens opérationnel direct (fraction transmise, mois de mémoire) : ils peuvent être élicités, pas seulement estimés.</w:t>
      </w:r>
    </w:p>
    <w:p>
      <w:pPr>
        <w:pStyle w:val="ListParagraph"/>
        <w:numPr>
          <w:ilvl w:val="0"/>
          <w:numId w:val="2"/>
        </w:numPr>
        <w:spacing w:after="40"/>
      </w:pPr>
      <w:r>
        <w:t xml:space="preserve">Les constantes psychophysiques (α) resteront des emprunts de littérature tant qu'il n'y a pas de données. Assumé.</w:t>
      </w:r>
    </w:p>
    <w:p>
      <w:pPr>
        <w:pStyle w:val="Heading3"/>
        <w:keepNext/>
        <w:spacing w:after="60" w:before="220"/>
      </w:pPr>
      <w:r>
        <w:rPr>
          <w:b/>
          <w:bCs/>
        </w:rPr>
        <w:t xml:space="preserve">Q7.5. « Pourquoi pas d'intervalle d'incertitude sur le score A lui-même ? »</w:t>
      </w:r>
    </w:p>
    <w:p>
      <w:pPr>
        <w:pStyle w:val="ListParagraph"/>
        <w:numPr>
          <w:ilvl w:val="0"/>
          <w:numId w:val="2"/>
        </w:numPr>
        <w:spacing w:after="40"/>
      </w:pPr>
      <w:r>
        <w:t xml:space="preserve">Aujourd'hui : l'incertitude est portée par le canal temps (Monte Carlo : distribution de la date d'achèvement, IC95 sur la probabilité de retard).</w:t>
      </w:r>
    </w:p>
    <w:p>
      <w:pPr>
        <w:pStyle w:val="ListParagraph"/>
        <w:numPr>
          <w:ilvl w:val="0"/>
          <w:numId w:val="2"/>
        </w:numPr>
        <w:spacing w:after="40"/>
      </w:pPr>
      <w:r>
        <w:t xml:space="preserve">Propager l'incertitude de bout en bout (KPIs, Ur, propagation, A) : extension naturelle et identifiée, la structure s'y prête (pipeline fonctionnel et pur).</w:t>
      </w:r>
    </w:p>
    <w:p>
      <w:pPr>
        <w:pStyle w:val="ListParagraph"/>
        <w:numPr>
          <w:ilvl w:val="0"/>
          <w:numId w:val="2"/>
        </w:numPr>
        <w:spacing w:after="40"/>
      </w:pPr>
      <w:r>
        <w:t xml:space="preserve">Mais arbitrage à discuter : un intervalle sur un score d'aide à la décision hebdomadaire peut détruire la lisibilité pour l'opérateur. Question de recherche UX/rigueur, intéressante à lui soumettre.</w:t>
      </w:r>
    </w:p>
    <w:p>
      <w:pPr>
        <w:pStyle w:val="Heading3"/>
        <w:keepNext/>
        <w:spacing w:after="60" w:before="220"/>
      </w:pPr>
      <w:r>
        <w:rPr>
          <w:b/>
          <w:bCs/>
        </w:rPr>
        <w:t xml:space="preserve">Q7.6. « Tes résultats sont-ils reproductibles ? »</w:t>
      </w:r>
    </w:p>
    <w:p>
      <w:pPr>
        <w:pStyle w:val="ListParagraph"/>
        <w:numPr>
          <w:ilvl w:val="0"/>
          <w:numId w:val="2"/>
        </w:numPr>
        <w:spacing w:after="40"/>
      </w:pPr>
      <w:r>
        <w:t xml:space="preserve">Oui, par construction : tout générateur aléatoire est seedé (PCG64 ; multi-départs FBWM seedés), l'horloge est injectable (horloge figée pour les tests), le pipeline est déterministe.</w:t>
      </w:r>
    </w:p>
    <w:p>
      <w:pPr>
        <w:pStyle w:val="ListParagraph"/>
        <w:numPr>
          <w:ilvl w:val="0"/>
          <w:numId w:val="2"/>
        </w:numPr>
        <w:spacing w:after="40"/>
      </w:pPr>
      <w:r>
        <w:t xml:space="preserve">La spec est rédigée depuis le code (chaque formule cite son fichier source, chaque constante vérifiée), pas un document d'intention.</w:t>
      </w:r>
    </w:p>
    <w:p>
      <w:pPr>
        <w:pStyle w:val="ListParagraph"/>
        <w:numPr>
          <w:ilvl w:val="0"/>
          <w:numId w:val="2"/>
        </w:numPr>
        <w:spacing w:after="40"/>
      </w:pPr>
      <w:r>
        <w:t xml:space="preserve">CI locale en une commande ; scénario de démo régénérable en une commande.</w:t>
      </w:r>
    </w:p>
    <w:p>
      <w:pPr>
        <w:pStyle w:val="Heading3"/>
        <w:keepNext/>
        <w:spacing w:after="60" w:before="220"/>
      </w:pPr>
      <w:r>
        <w:rPr>
          <w:b/>
          <w:bCs/>
        </w:rPr>
        <w:t xml:space="preserve">Q7.7. « Qu'est-ce qui est publiable là-dedans ? »</w:t>
      </w:r>
    </w:p>
    <w:p>
      <w:pPr>
        <w:pStyle w:val="ListParagraph"/>
        <w:numPr>
          <w:ilvl w:val="0"/>
          <w:numId w:val="2"/>
        </w:numPr>
        <w:spacing w:after="40"/>
      </w:pPr>
      <w:r>
        <w:t xml:space="preserve">Candidat principal : le score d'adéquation déclaré/réel asymétrique (la case vide de la littérature) plus le protocole serious game de validation. Un papier applicatif plutôt que théorique.</w:t>
      </w:r>
    </w:p>
    <w:p>
      <w:pPr>
        <w:pStyle w:val="ListParagraph"/>
        <w:numPr>
          <w:ilvl w:val="0"/>
          <w:numId w:val="2"/>
        </w:numPr>
        <w:spacing w:after="40"/>
      </w:pPr>
      <w:r>
        <w:t xml:space="preserve">Candidat secondaire : retour d'expérience méthodologique, les tests de propriétés appliqués à un modèle décisionnel (4 vrais bugs trouvés).</w:t>
      </w:r>
    </w:p>
    <w:p>
      <w:pPr>
        <w:pStyle w:val="ListParagraph"/>
        <w:numPr>
          <w:ilvl w:val="0"/>
          <w:numId w:val="2"/>
        </w:numPr>
        <w:spacing w:after="40"/>
      </w:pPr>
      <w:r>
        <w:t xml:space="preserve">Position de repli honnête : avant publication, il faut la validation externe, c'est-à-dire le serious game. Et lui demander son avis : c'est son métier.</w:t>
      </w:r>
    </w:p>
    <w:p>
      <w:pPr>
        <w:pStyle w:val="Heading1"/>
      </w:pPr>
      <w:r>
        <w:t xml:space="preserve">8. FBWM, PROMETHEE II, Monte Carlo</w:t>
      </w:r>
    </w:p>
    <w:p>
      <w:pPr>
        <w:pBdr>
          <w:left w:val="single" w:color="8FAAB3" w:sz="12" w:space="8"/>
        </w:pBdr>
        <w:spacing w:after="140"/>
        <w:ind w:left="120"/>
      </w:pPr>
      <w:r>
        <w:rPr>
          <w:i/>
          <w:iCs/>
        </w:rPr>
        <w:t xml:space="preserve">Elle peut vérifier que les méthodes avancées ne sont pas du name-dropping. Connaître les détails d'implémentation fait la différence.</w:t>
      </w:r>
    </w:p>
    <w:p>
      <w:pPr>
        <w:pStyle w:val="Heading3"/>
        <w:keepNext/>
        <w:spacing w:after="60" w:before="220"/>
      </w:pPr>
      <w:r>
        <w:rPr>
          <w:b/>
          <w:bCs/>
        </w:rPr>
        <w:t xml:space="preserve">Q8.1. « Pourquoi FBWM pour pondérer les blocs, et pas le même AHP ? »</w:t>
      </w:r>
    </w:p>
    <w:p>
      <w:pPr>
        <w:pStyle w:val="ListParagraph"/>
        <w:numPr>
          <w:ilvl w:val="0"/>
          <w:numId w:val="2"/>
        </w:numPr>
        <w:spacing w:after="40"/>
      </w:pPr>
      <w:r>
        <w:t xml:space="preserve">2n − 3 comparaisons au lieu de n(n − 1)/2 : moins de questions, meilleure cohérence. C'est l'argument fondateur du Best-Worst Method.</w:t>
      </w:r>
    </w:p>
    <w:p>
      <w:pPr>
        <w:pStyle w:val="ListParagraph"/>
        <w:numPr>
          <w:ilvl w:val="0"/>
          <w:numId w:val="2"/>
        </w:numPr>
        <w:spacing w:after="40"/>
      </w:pPr>
      <w:r>
        <w:t xml:space="preserve">Flou triangulaire (échelle linguistique de Guo et Zhao 2017) : capte l'hésitation du décideur au lieu de la forcer sur un entier.</w:t>
      </w:r>
    </w:p>
    <w:p>
      <w:pPr>
        <w:pStyle w:val="ListParagraph"/>
        <w:numPr>
          <w:ilvl w:val="0"/>
          <w:numId w:val="2"/>
        </w:numPr>
        <w:spacing w:after="40"/>
      </w:pPr>
      <w:r>
        <w:t xml:space="preserve">Contrôle de cohérence propre (table CI de Guo et Zhao), même seuil CR &lt; 0,10 : cohérence d'ensemble du système.</w:t>
      </w:r>
    </w:p>
    <w:p>
      <w:pPr>
        <w:pStyle w:val="Heading3"/>
        <w:keepNext/>
        <w:spacing w:after="60" w:before="220"/>
      </w:pPr>
      <w:r>
        <w:rPr>
          <w:b/>
          <w:bCs/>
          <w:color w:val="C00000"/>
        </w:rPr>
        <w:t xml:space="preserve">[TECHNIQUE] </w:t>
      </w:r>
      <w:r>
        <w:rPr>
          <w:b/>
          <w:bCs/>
        </w:rPr>
        <w:t xml:space="preserve">Q8.2. « Comment résous-tu le programme FBWM ? Garanties d'optimalité ? »</w:t>
      </w:r>
    </w:p>
    <w:p>
      <w:pPr>
        <w:pStyle w:val="ListParagraph"/>
        <w:numPr>
          <w:ilvl w:val="0"/>
          <w:numId w:val="2"/>
        </w:numPr>
        <w:spacing w:after="40"/>
      </w:pPr>
      <w:r>
        <w:t xml:space="preserve">Modèle : min ξ sous contraintes de ratios flous ; division floue approchée ; défuzzification GMIR R = (l + 4m + u)/6 ; contrainte Σ R(w) = 1.</w:t>
      </w:r>
    </w:p>
    <w:p>
      <w:pPr>
        <w:pStyle w:val="ListParagraph"/>
        <w:numPr>
          <w:ilvl w:val="0"/>
          <w:numId w:val="2"/>
        </w:numPr>
        <w:spacing w:after="40"/>
      </w:pPr>
      <w:r>
        <w:t xml:space="preserve">Résolution numérique SLSQP en multi-départs seedés (5 points initiaux), reproductible à graine égale ; faisabilité vérifiée a posteriori.</w:t>
      </w:r>
    </w:p>
    <w:p>
      <w:pPr>
        <w:pStyle w:val="ListParagraph"/>
        <w:numPr>
          <w:ilvl w:val="0"/>
          <w:numId w:val="2"/>
        </w:numPr>
        <w:spacing w:after="40"/>
      </w:pPr>
      <w:r>
        <w:t xml:space="preserve">Pas de garantie d'optimum global (problème non convexe), et c'est assumé ; le multi-départ réduit le risque de minimum local ; repli documenté sur poids uniformes si aucun départ faisable (jamais de crash numérique).</w:t>
      </w:r>
    </w:p>
    <w:p>
      <w:pPr>
        <w:pStyle w:val="ListParagraph"/>
        <w:numPr>
          <w:ilvl w:val="0"/>
          <w:numId w:val="2"/>
        </w:numPr>
        <w:spacing w:after="40"/>
      </w:pPr>
      <w:r>
        <w:rPr>
          <w:i/>
          <w:iCs/>
        </w:rPr>
        <w:t xml:space="preserve">Si elle insiste : </w:t>
      </w:r>
      <w:r>
        <w:t xml:space="preserve">oui, des reformulations exactes existent dans la littérature ; l'approche numérique multi-départs est un choix de robustesse d'implémentation, révisable.</w:t>
      </w:r>
    </w:p>
    <w:p>
      <w:pPr>
        <w:pStyle w:val="Heading3"/>
        <w:keepNext/>
        <w:spacing w:after="60" w:before="220"/>
      </w:pPr>
      <w:r>
        <w:rPr>
          <w:b/>
          <w:bCs/>
        </w:rPr>
        <w:t xml:space="preserve">Q8.3. « Pourquoi PROMETHEE II et pas TOPSIS, ELECTRE, ou une somme pondérée ? »</w:t>
      </w:r>
    </w:p>
    <w:p>
      <w:pPr>
        <w:pStyle w:val="ListParagraph"/>
        <w:numPr>
          <w:ilvl w:val="0"/>
          <w:numId w:val="2"/>
        </w:numPr>
        <w:spacing w:after="40"/>
      </w:pPr>
      <w:r>
        <w:t xml:space="preserve">Besoin : un classement complet des nœuds à traiter (flux net φ = φ⁺ − φ⁻), sur critères hétérogènes, sans compensation totale (une somme pondérée laisserait un excellent coût masquer un risque grave).</w:t>
      </w:r>
    </w:p>
    <w:p>
      <w:pPr>
        <w:pStyle w:val="ListParagraph"/>
        <w:numPr>
          <w:ilvl w:val="0"/>
          <w:numId w:val="2"/>
        </w:numPr>
        <w:spacing w:after="40"/>
      </w:pPr>
      <w:r>
        <w:t xml:space="preserve">Surclassement par paires avec les 6 fonctions de préférence de Brans-Vincke (seuils d'indifférence/préférence par critère) : on règle finement à partir de quel écart c'est significatif.</w:t>
      </w:r>
    </w:p>
    <w:p>
      <w:pPr>
        <w:pStyle w:val="ListParagraph"/>
        <w:numPr>
          <w:ilvl w:val="0"/>
          <w:numId w:val="2"/>
        </w:numPr>
        <w:spacing w:after="40"/>
      </w:pPr>
      <w:r>
        <w:t xml:space="preserve">Valeurs manquantes : règle explicite (préférence nulle dans les deux sens, poids renormalisés par paire), pas d'imputation silencieuse.</w:t>
      </w:r>
    </w:p>
    <w:p>
      <w:pPr>
        <w:pStyle w:val="Heading3"/>
        <w:keepNext/>
        <w:spacing w:after="60" w:before="220"/>
      </w:pPr>
      <w:r>
        <w:rPr>
          <w:b/>
          <w:bCs/>
          <w:color w:val="C00000"/>
        </w:rPr>
        <w:t xml:space="preserve">[PIÈGE] </w:t>
      </w:r>
      <w:r>
        <w:rPr>
          <w:b/>
          <w:bCs/>
        </w:rPr>
        <w:t xml:space="preserve">Q8.4. « PROMETHEE II souffre du renversement de rang. »</w:t>
      </w:r>
    </w:p>
    <w:p>
      <w:pPr>
        <w:pStyle w:val="ListParagraph"/>
        <w:numPr>
          <w:ilvl w:val="0"/>
          <w:numId w:val="2"/>
        </w:numPr>
        <w:spacing w:after="40"/>
      </w:pPr>
      <w:r>
        <w:t xml:space="preserve">Oui : documenté mot pour mot dans le docstring du module ET couvert par un test descriptif qui exhibe le phénomène plutôt que de le cacher.</w:t>
      </w:r>
    </w:p>
    <w:p>
      <w:pPr>
        <w:pStyle w:val="ListParagraph"/>
        <w:numPr>
          <w:ilvl w:val="0"/>
          <w:numId w:val="2"/>
        </w:numPr>
        <w:spacing w:after="40"/>
      </w:pPr>
      <w:r>
        <w:t xml:space="preserve">Portée maîtrisée : le classement est une aide à la priorisation hebdomadaire, pas un mécanisme automatique ; l'ensemble des alternatives (les nœuds du projet) est stable d'une semaine à l'autre.</w:t>
      </w:r>
    </w:p>
    <w:p>
      <w:pPr>
        <w:pStyle w:val="ListParagraph"/>
        <w:numPr>
          <w:ilvl w:val="0"/>
          <w:numId w:val="2"/>
        </w:numPr>
        <w:spacing w:after="40"/>
      </w:pPr>
      <w:r>
        <w:rPr>
          <w:i/>
          <w:iCs/>
        </w:rPr>
        <w:t xml:space="preserve">Si elle insiste : </w:t>
      </w:r>
      <w:r>
        <w:t xml:space="preserve">« pourquoi pas un cadre sans rank reversal ? » Les méthodes de surclassement y sont toutes sujettes d'une façon ou d'une autre ; on a préféré documenter le phénomène que prétendre l'éviter.</w:t>
      </w:r>
    </w:p>
    <w:p>
      <w:pPr>
        <w:pStyle w:val="Heading3"/>
        <w:keepNext/>
        <w:spacing w:after="60" w:before="220"/>
      </w:pPr>
      <w:r>
        <w:rPr>
          <w:b/>
          <w:bCs/>
          <w:color w:val="C00000"/>
        </w:rPr>
        <w:t xml:space="preserve">[TECHNIQUE] </w:t>
      </w:r>
      <w:r>
        <w:rPr>
          <w:b/>
          <w:bCs/>
        </w:rPr>
        <w:t xml:space="preserve">Q8.5. « Ton Monte Carlo : quel modèle, quelles garanties ? »</w:t>
      </w:r>
    </w:p>
    <w:p>
      <w:pPr>
        <w:pStyle w:val="ListParagraph"/>
        <w:numPr>
          <w:ilvl w:val="0"/>
          <w:numId w:val="2"/>
        </w:numPr>
        <w:spacing w:after="40"/>
      </w:pPr>
      <w:r>
        <w:t xml:space="preserve">PERT stochastique sur le DAG : début = max des achèvements des fournisseurs, achèvement = début + lead time, en ordre topologique. Aucun raccourci analytique : le max de lognormales n'est pas lognormale, c'est écrit dans le module.</w:t>
      </w:r>
    </w:p>
    <w:p>
      <w:pPr>
        <w:pStyle w:val="ListParagraph"/>
        <w:numPr>
          <w:ilvl w:val="0"/>
          <w:numId w:val="2"/>
        </w:numPr>
        <w:spacing w:after="40"/>
      </w:pPr>
      <w:r>
        <w:t xml:space="preserve">Lois par nœud : lognormale par défaut (par moments), normale tronquée à 0 (clip, biais documenté « jamais optimiste »), triangulaire si bornes fournies, déterministe si σ = 0.</w:t>
      </w:r>
    </w:p>
    <w:p>
      <w:pPr>
        <w:pStyle w:val="ListParagraph"/>
        <w:numPr>
          <w:ilvl w:val="0"/>
          <w:numId w:val="2"/>
        </w:numPr>
        <w:spacing w:after="40"/>
      </w:pPr>
      <w:r>
        <w:t xml:space="preserve">Estimateur : P(achèvement &gt; échéance) avec IC95 binomial ; N = 10 000 par défaut (bornes 2 000–50 000), tirages vectorisés seedés, garde-fou mémoire explicite.</w:t>
      </w:r>
    </w:p>
    <w:p>
      <w:pPr>
        <w:pStyle w:val="ListParagraph"/>
        <w:numPr>
          <w:ilvl w:val="0"/>
          <w:numId w:val="2"/>
        </w:numPr>
        <w:spacing w:after="40"/>
      </w:pPr>
      <w:r>
        <w:t xml:space="preserve">Validation croisée testée : sur un nœud isolé, le MC retrouve la survie analytique. Perf : 10 000 tirages × 1 000 nœuds en 0,74 s.</w:t>
      </w:r>
    </w:p>
    <w:p>
      <w:pPr>
        <w:pStyle w:val="Heading3"/>
        <w:keepNext/>
        <w:spacing w:after="60" w:before="220"/>
      </w:pPr>
      <w:r>
        <w:rPr>
          <w:b/>
          <w:bCs/>
        </w:rPr>
        <w:t xml:space="preserve">Q8.6. « Trois cadres MCDM (AHP, FBWM, PROMETHEE) dans un seul outil. Pourquoi cette accumulation ? »</w:t>
      </w:r>
    </w:p>
    <w:p>
      <w:pPr>
        <w:pStyle w:val="ListParagraph"/>
        <w:numPr>
          <w:ilvl w:val="0"/>
          <w:numId w:val="2"/>
        </w:numPr>
        <w:spacing w:after="40"/>
      </w:pPr>
      <w:r>
        <w:t xml:space="preserve">Chacun à sa place, choisi pour ses forces : AHP = 4 critères figés, jugement hebdo rapide avec contrôle de cohérence ; FBWM = pondération experte des 6 blocs (peu de comparaisons, flou) ; PROMETHEE II = classement d'alternatives nombreuses sans compensation.</w:t>
      </w:r>
    </w:p>
    <w:p>
      <w:pPr>
        <w:pStyle w:val="ListParagraph"/>
        <w:numPr>
          <w:ilvl w:val="0"/>
          <w:numId w:val="2"/>
        </w:numPr>
        <w:spacing w:after="40"/>
      </w:pPr>
      <w:r>
        <w:t xml:space="preserve">C'est l'inverse d'un dogmatisme : l'outil suit la structure du problème. Pondérer des critères et classer des alternatives sont deux problèmes différents.</w:t>
      </w:r>
    </w:p>
    <w:p>
      <w:pPr>
        <w:pStyle w:val="ListParagraph"/>
        <w:numPr>
          <w:ilvl w:val="0"/>
          <w:numId w:val="2"/>
        </w:numPr>
        <w:spacing w:after="40"/>
      </w:pPr>
      <w:r>
        <w:t xml:space="preserve">La littérature MCDM hybride fait exactement ces combinaisons (références dans la spec).</w:t>
      </w:r>
    </w:p>
    <w:p>
      <w:pPr>
        <w:pStyle w:val="Heading1"/>
      </w:pPr>
      <w:r>
        <w:t xml:space="preserve">9. Questions transverses et pièges de fond</w:t>
      </w:r>
    </w:p>
    <w:p>
      <w:pPr>
        <w:pBdr>
          <w:left w:val="single" w:color="8FAAB3" w:sz="12" w:space="8"/>
        </w:pBdr>
        <w:spacing w:after="140"/>
        <w:ind w:left="120"/>
      </w:pPr>
      <w:r>
        <w:rPr>
          <w:i/>
          <w:iCs/>
        </w:rPr>
        <w:t xml:space="preserve">Souvent posées en fin d'entretien. La dernière (« ta pire limite ? ») est quasi certaine : avoir UNE réponse nette.</w:t>
      </w:r>
    </w:p>
    <w:p>
      <w:pPr>
        <w:pStyle w:val="Heading3"/>
        <w:keepNext/>
        <w:spacing w:after="60" w:before="220"/>
      </w:pPr>
      <w:r>
        <w:rPr>
          <w:b/>
          <w:bCs/>
          <w:color w:val="C00000"/>
        </w:rPr>
        <w:t xml:space="preserve">[PIÈGE] </w:t>
      </w:r>
      <w:r>
        <w:rPr>
          <w:b/>
          <w:bCs/>
        </w:rPr>
        <w:t xml:space="preserve">Q9.1. « Comparer une perception (Ud) et une mesure (Ur) sur la même échelle, est-ce que ça a un sens ? Elles ne sont pas commensurables. »</w:t>
      </w:r>
    </w:p>
    <w:p>
      <w:pPr>
        <w:pStyle w:val="ListParagraph"/>
        <w:numPr>
          <w:ilvl w:val="0"/>
          <w:numId w:val="2"/>
        </w:numPr>
        <w:spacing w:after="40"/>
      </w:pPr>
      <w:r>
        <w:t xml:space="preserve">Les deux sont construites comme la même grandeur : « intensité du besoin d'agir sur ce nœud cette semaine », normalisée [0, 1]. L'une vue par l'humain, l'autre par les capteurs.</w:t>
      </w:r>
    </w:p>
    <w:p>
      <w:pPr>
        <w:pStyle w:val="ListParagraph"/>
        <w:numPr>
          <w:ilvl w:val="0"/>
          <w:numId w:val="2"/>
        </w:numPr>
        <w:spacing w:after="40"/>
      </w:pPr>
      <w:r>
        <w:t xml:space="preserve">La commensurabilité est une convention de construction assumée, comme confronter prévision et réalisé en météo : deux origines, une grandeur.</w:t>
      </w:r>
    </w:p>
    <w:p>
      <w:pPr>
        <w:pStyle w:val="ListParagraph"/>
        <w:numPr>
          <w:ilvl w:val="0"/>
          <w:numId w:val="2"/>
        </w:numPr>
        <w:spacing w:after="40"/>
      </w:pPr>
      <w:r>
        <w:t xml:space="preserve">L'étalonnage relatif des deux échelles est précisément ce que le module calibration prédiction/réalité mesurera sur données de jeu.</w:t>
      </w:r>
    </w:p>
    <w:p>
      <w:pPr>
        <w:pStyle w:val="ListParagraph"/>
        <w:numPr>
          <w:ilvl w:val="0"/>
          <w:numId w:val="2"/>
        </w:numPr>
        <w:spacing w:after="40"/>
      </w:pPr>
      <w:r>
        <w:t xml:space="preserve">Un biais systématique d'échelle (opérateur « notant sévère ») est visible dans l'historique par opérateur. Et c'est une information en soi.</w:t>
      </w:r>
    </w:p>
    <w:p>
      <w:pPr>
        <w:pStyle w:val="Heading3"/>
        <w:keepNext/>
        <w:spacing w:after="60" w:before="220"/>
      </w:pPr>
      <w:r>
        <w:rPr>
          <w:b/>
          <w:bCs/>
        </w:rPr>
        <w:t xml:space="preserve">Q9.2. « Et si un opérateur ment stratégiquement (sous-déclare pour avoir la paix) ? »</w:t>
      </w:r>
    </w:p>
    <w:p>
      <w:pPr>
        <w:pStyle w:val="ListParagraph"/>
        <w:numPr>
          <w:ilvl w:val="0"/>
          <w:numId w:val="2"/>
        </w:numPr>
        <w:spacing w:after="40"/>
      </w:pPr>
      <w:r>
        <w:t xml:space="preserve">C'est exactement ce que le système détecte : sous-déclaration, donc Ur &gt; Ud, donc H s'allume. Le scénario central de la démo (PowerChip, la joueuse qui sous-déclare 4 semaines).</w:t>
      </w:r>
    </w:p>
    <w:p>
      <w:pPr>
        <w:pStyle w:val="ListParagraph"/>
        <w:numPr>
          <w:ilvl w:val="0"/>
          <w:numId w:val="2"/>
        </w:numPr>
        <w:spacing w:after="40"/>
      </w:pPr>
      <w:r>
        <w:t xml:space="preserve">L'incitation est retournée : le score ne récompense pas la bonne nouvelle, il récompense la déclaration alignée avec les faits et le jalon réellement clôturé.</w:t>
      </w:r>
    </w:p>
    <w:p>
      <w:pPr>
        <w:pStyle w:val="ListParagraph"/>
        <w:numPr>
          <w:ilvl w:val="0"/>
          <w:numId w:val="2"/>
        </w:numPr>
        <w:spacing w:after="40"/>
      </w:pPr>
      <w:r>
        <w:t xml:space="preserve">Perspective théorie des jeux (mécanismes de déclaration honnête) : ouverte, non implémentée. Sujet de discussion intéressant avec elle.</w:t>
      </w:r>
    </w:p>
    <w:p>
      <w:pPr>
        <w:pStyle w:val="Heading3"/>
        <w:keepNext/>
        <w:spacing w:after="60" w:before="220"/>
      </w:pPr>
      <w:r>
        <w:rPr>
          <w:b/>
          <w:bCs/>
        </w:rPr>
        <w:t xml:space="preserve">Q9.3. « Tout repose sur de la saisie manuelle hebdomadaire. Fiabilité ? Fraîcheur ? »</w:t>
      </w:r>
    </w:p>
    <w:p>
      <w:pPr>
        <w:pStyle w:val="ListParagraph"/>
        <w:numPr>
          <w:ilvl w:val="0"/>
          <w:numId w:val="2"/>
        </w:numPr>
        <w:spacing w:after="40"/>
      </w:pPr>
      <w:r>
        <w:t xml:space="preserve">Limite assumée et écrite : un score n'est jamais plus frais que la dernière saisie ; pas de connecteur ERP (choix de périmètre, extension future identifiée).</w:t>
      </w:r>
    </w:p>
    <w:p>
      <w:pPr>
        <w:pStyle w:val="ListParagraph"/>
        <w:numPr>
          <w:ilvl w:val="0"/>
          <w:numId w:val="2"/>
        </w:numPr>
        <w:spacing w:after="40"/>
      </w:pPr>
      <w:r>
        <w:t xml:space="preserve">Le système affiche sa propre fraîcheur : couverture hebdo (nœuds à jour / actifs), badges de retard. Le cycle constate, il ne punit pas.</w:t>
      </w:r>
    </w:p>
    <w:p>
      <w:pPr>
        <w:pStyle w:val="ListParagraph"/>
        <w:numPr>
          <w:ilvl w:val="0"/>
          <w:numId w:val="2"/>
        </w:numPr>
        <w:spacing w:after="40"/>
      </w:pPr>
      <w:r>
        <w:t xml:space="preserve">Le rituel hebdomadaire est aussi un choix de conception : c'est une pratique industrielle standard (revue de programme, obeya).</w:t>
      </w:r>
    </w:p>
    <w:p>
      <w:pPr>
        <w:pStyle w:val="Heading3"/>
        <w:keepNext/>
        <w:spacing w:after="60" w:before="220"/>
      </w:pPr>
      <w:r>
        <w:rPr>
          <w:b/>
          <w:bCs/>
        </w:rPr>
        <w:t xml:space="preserve">Q9.4. « Pourquoi pas de machine learning ? »</w:t>
      </w:r>
    </w:p>
    <w:p>
      <w:pPr>
        <w:pStyle w:val="ListParagraph"/>
        <w:numPr>
          <w:ilvl w:val="0"/>
          <w:numId w:val="2"/>
        </w:numPr>
        <w:spacing w:after="40"/>
      </w:pPr>
      <w:r>
        <w:t xml:space="preserve">1. Aucune donnée réelle d'apprentissage à ce stade : un modèle appris sur du simulé apprendrait… le simulateur.</w:t>
      </w:r>
    </w:p>
    <w:p>
      <w:pPr>
        <w:pStyle w:val="ListParagraph"/>
        <w:numPr>
          <w:ilvl w:val="0"/>
          <w:numId w:val="2"/>
        </w:numPr>
        <w:spacing w:after="40"/>
      </w:pPr>
      <w:r>
        <w:t xml:space="preserve">2. Exigence d'explicabilité totale : chaque score se décompose exactement, l'équation instanciée est affichée. Un industriel doit pouvoir contester un chiffre.</w:t>
      </w:r>
    </w:p>
    <w:p>
      <w:pPr>
        <w:pStyle w:val="ListParagraph"/>
        <w:numPr>
          <w:ilvl w:val="0"/>
          <w:numId w:val="2"/>
        </w:numPr>
        <w:spacing w:after="40"/>
      </w:pPr>
      <w:r>
        <w:t xml:space="preserve">3. Le cadre bayésien actuel est déjà de l'apprentissage : en ligne, à petite échelle, explicable.</w:t>
      </w:r>
    </w:p>
    <w:p>
      <w:pPr>
        <w:pStyle w:val="ListParagraph"/>
        <w:numPr>
          <w:ilvl w:val="0"/>
          <w:numId w:val="2"/>
        </w:numPr>
        <w:spacing w:after="40"/>
      </w:pPr>
      <w:r>
        <w:t xml:space="preserve">Séquence : modèle blanc d'abord ; le serious game génère des données ; ensuite un ML peut compléter (suggestion de γ/β, détection de dérives de saisie).</w:t>
      </w:r>
    </w:p>
    <w:p>
      <w:pPr>
        <w:pStyle w:val="Heading3"/>
        <w:keepNext/>
        <w:spacing w:after="60" w:before="220"/>
      </w:pPr>
      <w:r>
        <w:rPr>
          <w:b/>
          <w:bCs/>
        </w:rPr>
        <w:t xml:space="preserve">Q9.5. « Ça tient la charge ? Quelle complexité ? »</w:t>
      </w:r>
    </w:p>
    <w:p>
      <w:pPr>
        <w:pStyle w:val="ListParagraph"/>
        <w:numPr>
          <w:ilvl w:val="0"/>
          <w:numId w:val="2"/>
        </w:numPr>
        <w:spacing w:after="40"/>
      </w:pPr>
      <w:r>
        <w:t xml:space="preserve">Propagation linéaire en (nœuds + arcs), une passe par direction : 12,5 ms à 1 000 nœuds (budget 80 ms) ; recalcul incrémental 1,3 ms ; Monte Carlo 10 000 tirages en 0,74 s (budget 2 s).</w:t>
      </w:r>
    </w:p>
    <w:p>
      <w:pPr>
        <w:pStyle w:val="ListParagraph"/>
        <w:numPr>
          <w:ilvl w:val="0"/>
          <w:numId w:val="2"/>
        </w:numPr>
        <w:spacing w:after="40"/>
      </w:pPr>
      <w:r>
        <w:t xml:space="preserve">Bancs de performance archivés, budgets bloquants en CI. Pas des chiffres d'affiche, des seuils testés.</w:t>
      </w:r>
    </w:p>
    <w:p>
      <w:pPr>
        <w:pStyle w:val="Heading3"/>
        <w:keepNext/>
        <w:spacing w:after="60" w:before="220"/>
      </w:pPr>
      <w:r>
        <w:rPr>
          <w:b/>
          <w:bCs/>
          <w:color w:val="C00000"/>
        </w:rPr>
        <w:t xml:space="preserve">[CENTRAL] </w:t>
      </w:r>
      <w:r>
        <w:rPr>
          <w:b/>
          <w:bCs/>
        </w:rPr>
        <w:t xml:space="preserve">Q9.6. « Quelle est, selon TOI, la limite la plus sérieuse ? »</w:t>
      </w:r>
    </w:p>
    <w:p>
      <w:pPr>
        <w:pStyle w:val="ListParagraph"/>
        <w:numPr>
          <w:ilvl w:val="0"/>
          <w:numId w:val="2"/>
        </w:numPr>
        <w:spacing w:after="40"/>
      </w:pPr>
      <w:r>
        <w:t xml:space="preserve">Réponse nette, sans hésiter : la validité externe. Tout ce qui est démontré aujourd'hui est de la cohérence interne et de la plausibilité sur données simulées.</w:t>
      </w:r>
    </w:p>
    <w:p>
      <w:pPr>
        <w:pStyle w:val="ListParagraph"/>
        <w:numPr>
          <w:ilvl w:val="0"/>
          <w:numId w:val="2"/>
        </w:numPr>
        <w:spacing w:after="40"/>
      </w:pPr>
      <w:r>
        <w:t xml:space="preserve">Enchaîner : c'est pourquoi la prochaine étape n'est pas une fonctionnalité mais une expérience, le serious game instrumenté plus le module de calibration.</w:t>
      </w:r>
    </w:p>
    <w:p>
      <w:pPr>
        <w:pStyle w:val="ListParagraph"/>
        <w:numPr>
          <w:ilvl w:val="0"/>
          <w:numId w:val="2"/>
        </w:numPr>
        <w:spacing w:after="40"/>
      </w:pPr>
      <w:r>
        <w:t xml:space="preserve">Cette réponse démontre la lucidité. Et elle invite sa contribution (protocole expérimental, design de la validation : son terrain).</w:t>
      </w:r>
    </w:p>
    <w:p>
      <w:pPr>
        <w:pStyle w:val="Heading3"/>
        <w:keepNext/>
        <w:spacing w:after="60" w:before="220"/>
      </w:pPr>
      <w:r>
        <w:rPr>
          <w:b/>
          <w:bCs/>
        </w:rPr>
        <w:t xml:space="preserve">Q9.7. « Qu'attends-tu de cette discussion ? (ou à lui poser toi-même) »</w:t>
      </w:r>
    </w:p>
    <w:p>
      <w:pPr>
        <w:pStyle w:val="ListParagraph"/>
        <w:numPr>
          <w:ilvl w:val="0"/>
          <w:numId w:val="2"/>
        </w:numPr>
        <w:spacing w:after="40"/>
      </w:pPr>
      <w:r>
        <w:t xml:space="preserve">Regard critique sur les hypothèses d'indépendance (noisy-OR, propagation) ; design d'une analyse de sensibilité ; protocole de validation du serious game ; pistes de publication.</w:t>
      </w:r>
    </w:p>
    <w:p>
      <w:pPr>
        <w:pStyle w:val="ListParagraph"/>
        <w:numPr>
          <w:ilvl w:val="0"/>
          <w:numId w:val="2"/>
        </w:numPr>
        <w:spacing w:after="40"/>
      </w:pPr>
      <w:r>
        <w:t xml:space="preserve">La traiter en alliée potentielle, pas en examinatrice : 10 ans de R&amp;D, chaque objection qu'elle soulève est une heure de travail qu'elle t'offre. Tout noter.</w:t>
      </w:r>
    </w:p>
    <w:p>
      <w:pPr>
        <w:pStyle w:val="Heading1"/>
      </w:pPr>
      <w:r>
        <w:t xml:space="preserve">10. Les hypothèses du modèle</w:t>
      </w:r>
    </w:p>
    <w:p>
      <w:pPr>
        <w:pBdr>
          <w:left w:val="single" w:color="8FAAB3" w:sz="12" w:space="8"/>
        </w:pBdr>
        <w:spacing w:after="140"/>
        <w:ind w:left="120"/>
      </w:pPr>
      <w:r>
        <w:rPr>
          <w:i/>
          <w:iCs/>
        </w:rPr>
        <w:t xml:space="preserve">À connaître par cœur : énoncer une hypothèse avant qu'elle ne la débusque inverse le rapport de force. Pour chacune : ce qu'on suppose, ce qui se passe si c'est faux, et comment c'est contrôlé.</w:t>
      </w:r>
    </w:p>
    <w:p>
      <w:pPr>
        <w:pStyle w:val="Heading2"/>
      </w:pPr>
      <w:r>
        <w:t xml:space="preserve">Hypothèses de structure (réseau)</w:t>
      </w:r>
    </w:p>
    <w:p>
      <w:pPr>
        <w:pStyle w:val="ListParagraph"/>
        <w:numPr>
          <w:ilvl w:val="0"/>
          <w:numId w:val="2"/>
        </w:numPr>
        <w:spacing w:after="40"/>
      </w:pPr>
      <w:r>
        <w:t xml:space="preserve">H1. Le réseau est un DAG orienté fournisseur vers client : pas de cycles. Si c'est faux : l'outil refuse l'arc fautif à la saisie, avec message explicite ; pour un vrai besoin de boucle, piste de point fixe itératif (facteurs &lt; 1), non implémentée.</w:t>
      </w:r>
    </w:p>
    <w:p>
      <w:pPr>
        <w:pStyle w:val="ListParagraph"/>
        <w:numPr>
          <w:ilvl w:val="0"/>
          <w:numId w:val="2"/>
        </w:numPr>
        <w:spacing w:after="40"/>
      </w:pPr>
      <w:r>
        <w:t xml:space="preserve">H2. Une passe de propagation par direction suffit : pas de rétroaction à l'intérieur d'une semaine. Justification : le pas de temps du système est la semaine, la propagation y est instantanée. Contrôle : résultat exact garanti par l'ordre topologique, invariance à l'ordre d'insertion testée.</w:t>
      </w:r>
    </w:p>
    <w:p>
      <w:pPr>
        <w:pStyle w:val="ListParagraph"/>
        <w:numPr>
          <w:ilvl w:val="0"/>
          <w:numId w:val="2"/>
        </w:numPr>
        <w:spacing w:after="40"/>
      </w:pPr>
      <w:r>
        <w:t xml:space="preserve">H3. Les arcs de secours (backup) sont inertes tant qu'ils ne sont pas activés : purement documentaires pour le calcul. Si un secours est réellement actif : le modéliser comme arc nominal.</w:t>
      </w:r>
    </w:p>
    <w:p>
      <w:pPr>
        <w:pStyle w:val="Heading2"/>
      </w:pPr>
      <w:r>
        <w:t xml:space="preserve">Hypothèses probabilistes</w:t>
      </w:r>
    </w:p>
    <w:p>
      <w:pPr>
        <w:pStyle w:val="ListParagraph"/>
        <w:numPr>
          <w:ilvl w:val="0"/>
          <w:numId w:val="2"/>
        </w:numPr>
        <w:spacing w:after="40"/>
      </w:pPr>
      <w:r>
        <w:t xml:space="preserve">H4. Les six blocs KPI sont indépendants (noisy-OR). Si c'est faux (corrélation positive) : surestimation de Ur, erreur conservatrice pour un système d'alerte ; atténuable par les poids ω (FBWM).</w:t>
      </w:r>
    </w:p>
    <w:p>
      <w:pPr>
        <w:pStyle w:val="ListParagraph"/>
        <w:numPr>
          <w:ilvl w:val="0"/>
          <w:numId w:val="2"/>
        </w:numPr>
        <w:spacing w:after="40"/>
      </w:pPr>
      <w:r>
        <w:t xml:space="preserve">H5. Les urgences des voisins sont indépendantes dans la propagation (produit de survies). Même direction d'erreur que H4 ; les chocs communs (région, matière partagée) s'étudient par le multi-chocs de la simulation.</w:t>
      </w:r>
    </w:p>
    <w:p>
      <w:pPr>
        <w:pStyle w:val="ListParagraph"/>
        <w:numPr>
          <w:ilvl w:val="0"/>
          <w:numId w:val="2"/>
        </w:numPr>
        <w:spacing w:after="40"/>
      </w:pPr>
      <w:r>
        <w:t xml:space="preserve">H6. Le lead time suit une loi normale dans le pipeline analytique (seule la survie P(L &gt; marge) est utilisée), une lognormale par défaut dans le Monte Carlo ; σ = 0,25·μ si l'écart-type n'est pas mesuré. Contrôle : validation croisée MC ↔ formule analytique, testée sur nœud isolé.</w:t>
      </w:r>
    </w:p>
    <w:p>
      <w:pPr>
        <w:pStyle w:val="ListParagraph"/>
        <w:numPr>
          <w:ilvl w:val="0"/>
          <w:numId w:val="2"/>
        </w:numPr>
        <w:spacing w:after="40"/>
      </w:pPr>
      <w:r>
        <w:t xml:space="preserve">H7. Les défaillances se modélisent en Bernoulli hebdomadaire avec prior conjugué Beta (N₀ = 26) ; un événement équivaut à observer k défaillances sur n essais. Si c'est faux : les pseudo-comptes sont recalibrables et la sémantique reste auditable (la règle est écrite en clair dans chaque impact).</w:t>
      </w:r>
    </w:p>
    <w:p>
      <w:pPr>
        <w:pStyle w:val="ListParagraph"/>
        <w:numPr>
          <w:ilvl w:val="0"/>
          <w:numId w:val="2"/>
        </w:numPr>
        <w:spacing w:after="40"/>
      </w:pPr>
      <w:r>
        <w:t xml:space="preserve">H8. Les incidents du bloc risque arrivent comme un processus de Poisson d'intensité x, d'où la forme 1 − e⁻ˣ : saturation douce, jamais de dépassement.</w:t>
      </w:r>
    </w:p>
    <w:p>
      <w:pPr>
        <w:pStyle w:val="Heading2"/>
      </w:pPr>
      <w:r>
        <w:t xml:space="preserve">Hypothèses de mesure et d'échelle</w:t>
      </w:r>
    </w:p>
    <w:p>
      <w:pPr>
        <w:pStyle w:val="ListParagraph"/>
        <w:numPr>
          <w:ilvl w:val="0"/>
          <w:numId w:val="2"/>
        </w:numPr>
        <w:spacing w:after="40"/>
      </w:pPr>
      <w:r>
        <w:t xml:space="preserve">H9. Ud et Ur sont commensurables : même grandeur (« intensité du besoin d'agir sur ce nœud cette semaine »), normalisée [0, 1], vue par deux capteurs différents (l'humain, les KPIs). C'est l'hypothèse fondatrice du score A ; l'étalonnage relatif des deux échelles est l'objet du module calibration prédiction/réalité.</w:t>
      </w:r>
    </w:p>
    <w:p>
      <w:pPr>
        <w:pStyle w:val="ListParagraph"/>
        <w:numPr>
          <w:ilvl w:val="0"/>
          <w:numId w:val="2"/>
        </w:numPr>
        <w:spacing w:after="40"/>
      </w:pPr>
      <w:r>
        <w:t xml:space="preserve">H10. L'échelle de Saaty (1..9) et les conversions affines de l'interface captent les rapports d'importance sans déformation majeure ; le bruit de quantification de cette échelle borne la précision exigible partout ailleurs dans le calcul de Ud.</w:t>
      </w:r>
    </w:p>
    <w:p>
      <w:pPr>
        <w:pStyle w:val="ListParagraph"/>
        <w:numPr>
          <w:ilvl w:val="0"/>
          <w:numId w:val="2"/>
        </w:numPr>
        <w:spacing w:after="40"/>
      </w:pPr>
      <w:r>
        <w:t xml:space="preserve">H11. La cadence hebdomadaire suffit à suivre la dynamique du réseau. Conséquence assumée : un score n'est jamais plus frais que la dernière saisie, et le système affiche sa propre couverture (nœuds à jour / actifs).</w:t>
      </w:r>
    </w:p>
    <w:p>
      <w:pPr>
        <w:pStyle w:val="ListParagraph"/>
        <w:numPr>
          <w:ilvl w:val="0"/>
          <w:numId w:val="2"/>
        </w:numPr>
        <w:spacing w:after="40"/>
      </w:pPr>
      <w:r>
        <w:t xml:space="preserve">H12. La perception évolue avec inertie : lissage EMA avec ρ = 0,3, le questionnaire courant pèse 70 %. Paramètre de gouvernance, recalibrable après le serious game.</w:t>
      </w:r>
    </w:p>
    <w:p>
      <w:pPr>
        <w:pStyle w:val="Heading2"/>
      </w:pPr>
      <w:r>
        <w:t xml:space="preserve">Hypothèses comportementales et de gouvernance</w:t>
      </w:r>
    </w:p>
    <w:p>
      <w:pPr>
        <w:pStyle w:val="ListParagraph"/>
        <w:numPr>
          <w:ilvl w:val="0"/>
          <w:numId w:val="2"/>
        </w:numPr>
        <w:spacing w:after="40"/>
      </w:pPr>
      <w:r>
        <w:t xml:space="preserve">H13. Sous-estimer coûte plus cher que surestimer : λ_under = 2,25 &gt; λ_over = 1. Choix de gouvernance ; la conclusion qualitative tient pour tout λ_under &gt; λ_over.</w:t>
      </w:r>
    </w:p>
    <w:p>
      <w:pPr>
        <w:pStyle w:val="ListParagraph"/>
        <w:numPr>
          <w:ilvl w:val="0"/>
          <w:numId w:val="2"/>
        </w:numPr>
        <w:spacing w:after="40"/>
      </w:pPr>
      <w:r>
        <w:t xml:space="preserve">H14. La sensibilité aux écarts est décroissante (courbure α = 0,88 &lt; 1) : un écart naissant pèse plus qu'un écart qui empire d'autant. Emprunt de forme à la Prospect Theory.</w:t>
      </w:r>
    </w:p>
    <w:p>
      <w:pPr>
        <w:pStyle w:val="ListParagraph"/>
        <w:numPr>
          <w:ilvl w:val="0"/>
          <w:numId w:val="2"/>
        </w:numPr>
        <w:spacing w:after="40"/>
      </w:pPr>
      <w:r>
        <w:t xml:space="preserve">H15. Un retard constaté est un signal plus fiable qu'une avance déclarée : κ_retard = 0,5 &gt; κ_avance = 0,2.</w:t>
      </w:r>
    </w:p>
    <w:p>
      <w:pPr>
        <w:pStyle w:val="ListParagraph"/>
        <w:numPr>
          <w:ilvl w:val="0"/>
          <w:numId w:val="2"/>
        </w:numPr>
        <w:spacing w:after="40"/>
      </w:pPr>
      <w:r>
        <w:t xml:space="preserve">H16. Un nœud terminé n'isole pas sa branche (le flux physique persiste) ; un nœud abandonné contamine l'aval au maximum (règle pessimiste). Décisions de modélisation tranchées et justifiées par écrit dans la spec.</w:t>
      </w:r>
    </w:p>
    <w:p>
      <w:pPr>
        <w:pStyle w:val="ListParagraph"/>
        <w:numPr>
          <w:ilvl w:val="0"/>
          <w:numId w:val="2"/>
        </w:numPr>
        <w:spacing w:after="40"/>
      </w:pPr>
      <w:r>
        <w:t xml:space="preserve">H17. Une donnée manquante est non-informative : bloc ignoré et poids renormalisés sur les blocs présents, ni optimisme ni pessimisme.</w:t>
      </w:r>
    </w:p>
    <w:p>
      <w:pPr>
        <w:spacing w:after="100"/>
      </w:pPr>
      <w:r>
        <w:rPr>
          <w:i/>
          <w:iCs/>
        </w:rPr>
        <w:t xml:space="preserve">Si elle demande « laquelle de ces hypothèses te gêne le plus ? » : H4/H5 (indépendance) côté théorie, H9 (commensurabilité) côté fond, H11 (cadence de saisie) côté pratique. Les trois sont documentées, et les deux premières ont une direction d'erreur connue.</w:t>
      </w:r>
    </w:p>
    <w:p>
      <w:pPr>
        <w:pStyle w:val="Heading1"/>
      </w:pPr>
      <w:r>
        <w:t xml:space="preserve">Annexe A : constantes et chiffres à avoir en tête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400"/>
        <w:gridCol w:w="3238"/>
      </w:tblGrid>
      <w:tr>
        <w:tc>
          <w:tcPr>
            <w:tcW w:type="dxa" w:w="2300"/>
            <w:tcBorders>
              <w:top w:val="single" w:color="BBBBBB" w:sz="1"/>
              <w:left w:val="single" w:color="BBBBBB" w:sz="1"/>
              <w:bottom w:val="single" w:color="BBBBBB" w:sz="1"/>
              <w:right w:val="single" w:color="BBBBBB" w:sz="1"/>
            </w:tcBorders>
            <w:shd w:fill="D5E3EB" w:val="clear"/>
            <w:tcMar>
              <w:top w:type="dxa" w:w="60"/>
              <w:left w:type="dxa" w:w="100"/>
              <w:bottom w:type="dxa" w:w="60"/>
              <w:right w:type="dxa" w:w="100"/>
            </w:tcMar>
          </w:tcPr>
          <w:p>
            <w:pPr>
              <w:spacing w:after="0"/>
            </w:pPr>
            <w:r>
              <w:rPr>
                <w:b/>
                <w:bCs/>
                <w:sz w:val="19"/>
                <w:szCs w:val="19"/>
              </w:rPr>
              <w:t xml:space="preserve">Constante</w:t>
            </w:r>
          </w:p>
        </w:tc>
        <w:tc>
          <w:tcPr>
            <w:tcW w:type="dxa" w:w="1700"/>
            <w:tcBorders>
              <w:top w:val="single" w:color="BBBBBB" w:sz="1"/>
              <w:left w:val="single" w:color="BBBBBB" w:sz="1"/>
              <w:bottom w:val="single" w:color="BBBBBB" w:sz="1"/>
              <w:right w:val="single" w:color="BBBBBB" w:sz="1"/>
            </w:tcBorders>
            <w:shd w:fill="D5E3EB" w:val="clear"/>
            <w:tcMar>
              <w:top w:type="dxa" w:w="60"/>
              <w:left w:type="dxa" w:w="100"/>
              <w:bottom w:type="dxa" w:w="60"/>
              <w:right w:type="dxa" w:w="100"/>
            </w:tcMar>
          </w:tcPr>
          <w:p>
            <w:pPr>
              <w:spacing w:after="0"/>
            </w:pPr>
            <w:r>
              <w:rPr>
                <w:b/>
                <w:bCs/>
                <w:sz w:val="19"/>
                <w:szCs w:val="19"/>
              </w:rPr>
              <w:t xml:space="preserve">Valeur</w:t>
            </w:r>
          </w:p>
        </w:tc>
        <w:tc>
          <w:tcPr>
            <w:tcW w:type="dxa" w:w="2400"/>
            <w:tcBorders>
              <w:top w:val="single" w:color="BBBBBB" w:sz="1"/>
              <w:left w:val="single" w:color="BBBBBB" w:sz="1"/>
              <w:bottom w:val="single" w:color="BBBBBB" w:sz="1"/>
              <w:right w:val="single" w:color="BBBBBB" w:sz="1"/>
            </w:tcBorders>
            <w:shd w:fill="D5E3EB" w:val="clear"/>
            <w:tcMar>
              <w:top w:type="dxa" w:w="60"/>
              <w:left w:type="dxa" w:w="100"/>
              <w:bottom w:type="dxa" w:w="60"/>
              <w:right w:type="dxa" w:w="100"/>
            </w:tcMar>
          </w:tcPr>
          <w:p>
            <w:pPr>
              <w:spacing w:after="0"/>
            </w:pPr>
            <w:r>
              <w:rPr>
                <w:b/>
                <w:bCs/>
                <w:sz w:val="19"/>
                <w:szCs w:val="19"/>
              </w:rPr>
              <w:t xml:space="preserve">Statut</w:t>
            </w:r>
          </w:p>
        </w:tc>
        <w:tc>
          <w:tcPr>
            <w:tcW w:type="dxa" w:w="3238"/>
            <w:tcBorders>
              <w:top w:val="single" w:color="BBBBBB" w:sz="1"/>
              <w:left w:val="single" w:color="BBBBBB" w:sz="1"/>
              <w:bottom w:val="single" w:color="BBBBBB" w:sz="1"/>
              <w:right w:val="single" w:color="BBBBBB" w:sz="1"/>
            </w:tcBorders>
            <w:shd w:fill="D5E3EB" w:val="clear"/>
            <w:tcMar>
              <w:top w:type="dxa" w:w="60"/>
              <w:left w:type="dxa" w:w="100"/>
              <w:bottom w:type="dxa" w:w="60"/>
              <w:right w:type="dxa" w:w="100"/>
            </w:tcMar>
          </w:tcPr>
          <w:p>
            <w:pPr>
              <w:spacing w:after="0"/>
            </w:pPr>
            <w:r>
              <w:rPr>
                <w:b/>
                <w:bCs/>
                <w:sz w:val="19"/>
                <w:szCs w:val="19"/>
              </w:rPr>
              <w:t xml:space="preserve">Commentaire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λ_under / λ_over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2,25 / 1,0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Mesurée (T&amp;K 1992) / gouvernance</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Aversion à la perte ; l'ordre des pénalités tient pour tout λu &gt; λo</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α</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0,88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Mesurée (T&amp;K 1992)</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Courbure psychophysique (sensibilité décroissante)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CR (AHP et FBWM)</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&lt; 0,10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Standard (Saaty ; Guo &amp; Zhao)</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Bloquant dans l'UI : jugements incohérents rejetés</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ρ (lissage Ud)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0,3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Gouvernance</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Inertie = poids du passé ; convention inverse des λ d'événements</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κ_retard / κ_avance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0,5 / 0,2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Gouvernance</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Retard constaté fiable vs avance déclarée prudente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γ, β (arcs)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0,5 / 0,5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Gouvernance, par arc</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Fraction d'urgence transmise (Ud descend / Ur monte)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N₀ (prior Bayes)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26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Gouvernance</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 6 mois d'observations hebdo ; recalibrage prévu</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σ lead time défaut</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0,25·μ</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Gouvernance</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CV par défaut, remplacé dès que l'écart-type est mesuré</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T_ref / C_ref</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24 h / 1 000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Gouvernance</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Normalisations bloc risque / coût de stockage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Bornes proba Bayes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[10⁻⁴ ; 0,99]</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Garde-fou</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Verrou bayésien : 0 et 1 ne se révisent plus</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N tirages MC</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10 000 (2k–50k)</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Réglage</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PCG64 seedé ; IC95 ; garde-fou mémoire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A(1, 0) / A(0, 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29,3 / 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Conséquence</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Le chiffre choc : panique vs aveuglement</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Tests / couverture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1 607 / 94,1 %</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Fait</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1 592 rapides + 8 navigateur + 7 bancs ; seuil 90 % bloquant</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Perf @1 000 nœuds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12,5 ms / 1,3 ms / 0,74 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Fait</w:t>
            </w:r>
          </w:p>
        </w:tc>
        <w:tc>
          <w:tcPr>
            <w:tcW w:type="dxa" w:w="323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Propagation / incrémental / MC ; budgets tenus</w:t>
            </w:r>
          </w:p>
        </w:tc>
      </w:tr>
    </w:tbl>
    <w:p>
      <w:pPr>
        <w:spacing w:after="100"/>
      </w:pPr>
      <w:r>
        <w:t xml:space="preserve"/>
      </w:r>
    </w:p>
    <w:p>
      <w:pPr>
        <w:pStyle w:val="Heading2"/>
      </w:pPr>
      <w:r>
        <w:t xml:space="preserve">Trois calculs à savoir refaire de tête</w:t>
      </w:r>
    </w:p>
    <w:p>
      <w:pPr>
        <w:pStyle w:val="ListParagraph"/>
        <w:numPr>
          <w:ilvl w:val="0"/>
          <w:numId w:val="2"/>
        </w:numPr>
        <w:spacing w:after="40"/>
      </w:pPr>
      <w:r>
        <w:t xml:space="preserve">Noisy-OR : deux blocs à 0,5 donnent Ur = 1 − 0,5 × 0,5 = 0,75 (et pas 0,5 : le OU domine la moyenne).</w:t>
      </w:r>
    </w:p>
    <w:p>
      <w:pPr>
        <w:pStyle w:val="ListParagraph"/>
        <w:numPr>
          <w:ilvl w:val="0"/>
          <w:numId w:val="2"/>
        </w:numPr>
        <w:spacing w:after="40"/>
      </w:pPr>
      <w:r>
        <w:t xml:space="preserve">Bayes : p = 0,02, panne majeure (k = 1, n = 1) donne (0,02 × 26 + 1)/27 = 0,0563 ; une semaine calme donne 0,52/27 = 0,0193.</w:t>
      </w:r>
    </w:p>
    <w:p>
      <w:pPr>
        <w:pStyle w:val="ListParagraph"/>
        <w:numPr>
          <w:ilvl w:val="0"/>
          <w:numId w:val="2"/>
        </w:numPr>
        <w:spacing w:after="40"/>
      </w:pPr>
      <w:r>
        <w:t xml:space="preserve">Propagation : chaîne C→B→A, β = 0,5 puis 0,7, urgences locales (0,6 ; 0,3 ; 0,1). Ur_B = 1 − 0,7 × (1 − 0,3) = 0,51 ; Ur_A = 1 − 0,9 × (1 − 0,357) = 0,4213.</w:t>
      </w:r>
    </w:p>
    <w:p>
      <w:pPr>
        <w:pStyle w:val="Heading1"/>
      </w:pPr>
      <w:r>
        <w:t xml:space="preserve">Annexe B : les limites honnêtes (à citer toi-même, avant elle)</w:t>
      </w:r>
    </w:p>
    <w:p>
      <w:pPr>
        <w:spacing w:after="100"/>
      </w:pPr>
      <w:r>
        <w:rPr>
          <w:i/>
          <w:iCs/>
        </w:rPr>
        <w:t xml:space="preserve">La spec contient une section « Limites honnêtes du modèle ». Les connaître par cœur transforme chaque attaque en « oui, c'est documenté, voilà le plan ».</w:t>
      </w:r>
    </w:p>
    <w:p>
      <w:pPr>
        <w:pStyle w:val="ListParagraph"/>
        <w:numPr>
          <w:ilvl w:val="0"/>
          <w:numId w:val="2"/>
        </w:numPr>
        <w:spacing w:after="40"/>
      </w:pPr>
      <w:r>
        <w:t xml:space="preserve">Pas de prédiction certaine : des probabilités et des scores, pas des prophéties.</w:t>
      </w:r>
    </w:p>
    <w:p>
      <w:pPr>
        <w:pStyle w:val="ListParagraph"/>
        <w:numPr>
          <w:ilvl w:val="0"/>
          <w:numId w:val="2"/>
        </w:numPr>
        <w:spacing w:after="40"/>
      </w:pPr>
      <w:r>
        <w:t xml:space="preserve">Fraîcheur = cadence de saisie : pas d'ERP, saisie manuelle assumée.</w:t>
      </w:r>
    </w:p>
    <w:p>
      <w:pPr>
        <w:pStyle w:val="ListParagraph"/>
        <w:numPr>
          <w:ilvl w:val="0"/>
          <w:numId w:val="2"/>
        </w:numPr>
        <w:spacing w:after="40"/>
      </w:pPr>
      <w:r>
        <w:t xml:space="preserve">AHP limité à 4 critères (cohérence dégradée au-delà de ~7) : FBWM au-delà.</w:t>
      </w:r>
    </w:p>
    <w:p>
      <w:pPr>
        <w:pStyle w:val="ListParagraph"/>
        <w:numPr>
          <w:ilvl w:val="0"/>
          <w:numId w:val="2"/>
        </w:numPr>
        <w:spacing w:after="40"/>
      </w:pPr>
      <w:r>
        <w:t xml:space="preserve">Calibrations d'événements non mesurées (N₀, pseudo-comptes, réactivités EMA) : défendables, recalibrées par le serious game.</w:t>
      </w:r>
    </w:p>
    <w:p>
      <w:pPr>
        <w:pStyle w:val="ListParagraph"/>
        <w:numPr>
          <w:ilvl w:val="0"/>
          <w:numId w:val="2"/>
        </w:numPr>
        <w:spacing w:after="40"/>
      </w:pPr>
      <w:r>
        <w:t xml:space="preserve">u_time ne regarde que le prochain jalon actif : un jalon lointain qui dérive est invisible jusqu'à devenir le prochain ; extension identifiée (max pondéré).</w:t>
      </w:r>
    </w:p>
    <w:p>
      <w:pPr>
        <w:pStyle w:val="ListParagraph"/>
        <w:numPr>
          <w:ilvl w:val="0"/>
          <w:numId w:val="2"/>
        </w:numPr>
        <w:spacing w:after="40"/>
      </w:pPr>
      <w:r>
        <w:t xml:space="preserve">Hypothèses d'indépendance (noisy-OR, produit de propagation) : erreur dans le sens conservateur.</w:t>
      </w:r>
    </w:p>
    <w:p>
      <w:pPr>
        <w:pStyle w:val="ListParagraph"/>
        <w:numPr>
          <w:ilvl w:val="0"/>
          <w:numId w:val="2"/>
        </w:numPr>
        <w:spacing w:after="40"/>
      </w:pPr>
      <w:r>
        <w:t xml:space="preserve">Constantes Prospect Theory empruntées : transfert de domaine non validé, recalibrable.</w:t>
      </w:r>
    </w:p>
    <w:p>
      <w:pPr>
        <w:pStyle w:val="ListParagraph"/>
        <w:numPr>
          <w:ilvl w:val="0"/>
          <w:numId w:val="2"/>
        </w:numPr>
        <w:spacing w:after="40"/>
      </w:pPr>
      <w:r>
        <w:t xml:space="preserve">Validation externe non faite : cohérence interne et comportementale seulement ; banc d'essai = serious game outillé.</w:t>
      </w:r>
    </w:p>
    <w:p>
      <w:pPr>
        <w:pStyle w:val="ListParagraph"/>
        <w:numPr>
          <w:ilvl w:val="0"/>
          <w:numId w:val="2"/>
        </w:numPr>
        <w:spacing w:after="40"/>
      </w:pPr>
      <w:r>
        <w:t xml:space="preserve">Pas d'analyse de sensibilité systématique (Sobol/Morris) des hyperparamètres : chantier identifié, structure du code prête.</w:t>
      </w:r>
    </w:p>
    <w:p>
      <w:pPr>
        <w:pStyle w:val="ListParagraph"/>
        <w:numPr>
          <w:ilvl w:val="0"/>
          <w:numId w:val="2"/>
        </w:numPr>
        <w:spacing w:after="40"/>
      </w:pPr>
      <w:r>
        <w:t xml:space="preserve">Double comptage possible (événement plus correction manuelle du même KPI la même semaine) : avertissement, pas interdiction, l'opérateur reste souverain.</w:t>
      </w:r>
    </w:p>
    <w:p>
      <w:pPr>
        <w:pStyle w:val="ListParagraph"/>
        <w:numPr>
          <w:ilvl w:val="0"/>
          <w:numId w:val="2"/>
        </w:numPr>
        <w:spacing w:after="40"/>
      </w:pPr>
      <w:r>
        <w:t xml:space="preserve">Renversement de rang PROMETHEE II : documenté et exhibé par un test, pas masqué.</w:t>
      </w:r>
    </w:p>
    <w:p>
      <w:pPr>
        <w:pStyle w:val="ListParagraph"/>
        <w:numPr>
          <w:ilvl w:val="0"/>
          <w:numId w:val="2"/>
        </w:numPr>
        <w:spacing w:after="40"/>
      </w:pPr>
      <w:r>
        <w:t xml:space="preserve">Le passage au temps réel fait bouger les scores (les échéances deviennent vraies) : mode réel/jeu par projet pour maîtriser la transition.</w:t>
      </w:r>
    </w:p>
    <w:p>
      <w:pPr>
        <w:pBdr>
          <w:top w:val="single" w:color="2E5F75" w:sz="8" w:space="4"/>
        </w:pBdr>
        <w:spacing w:before="200"/>
      </w:pPr>
      <w:r>
        <w:rPr>
          <w:i/>
          <w:iCs/>
        </w:rPr>
        <w:t xml:space="preserve">Dernier conseil : elle a dix ans de R&amp;D, chaque objection est une heure de travail qu'elle t'offre gratuitement. Note tout, remercie, et propose-lui de revoir le protocole de validation avec toi.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6"/>
        <w:szCs w:val="16"/>
      </w:rPr>
      <w:t xml:space="preserve">SupplyScore : préparation Q&amp;R</w:t>
    </w:r>
    <w:r>
      <w:rPr>
        <w:sz w:val="16"/>
        <w:szCs w:val="16"/>
      </w:rPr>
      <w:t xml:space="preserve">	</w:t>
    </w:r>
    <w:r>
      <w:rPr>
        <w:color w:val="777777"/>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257"/>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4257"/>
      <w:sz w:val="25"/>
      <w:szCs w:val="25"/>
    </w:rPr>
  </w:style>
  <w:style w:type="paragraph" w:styleId="Heading3">
    <w:name w:val="Heading 3"/>
    <w:basedOn w:val="Normal"/>
    <w:next w:val="Normal"/>
    <w:qFormat/>
    <w:pPr>
      <w:spacing w:after="60" w:before="20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2026-06-12T12:30:45.542Z</dcterms:created>
  <dcterms:modified xsi:type="dcterms:W3CDTF">2026-06-12T12:30:45.543Z</dcterms:modified>
</cp:coreProperties>
</file>

<file path=docProps/custom.xml><?xml version="1.0" encoding="utf-8"?>
<Properties xmlns="http://schemas.openxmlformats.org/officeDocument/2006/custom-properties" xmlns:vt="http://schemas.openxmlformats.org/officeDocument/2006/docPropsVTypes"/>
</file>