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A56A0"/>
          <w:sz w:val="64"/>
          <w:szCs w:val="64"/>
        </w:rPr>
        <w:t xml:space="preserve">SkillCert AI</w:t>
      </w:r>
    </w:p>
    <w:p>
      <w:pPr>
        <w:spacing w:after="200" w:before="0"/>
      </w:pPr>
      <w:r>
        <w:rPr>
          <w:rFonts w:ascii="Arial" w:cs="Arial" w:eastAsia="Arial" w:hAnsi="Arial"/>
          <w:color w:val="0E7C6B"/>
          <w:sz w:val="32"/>
          <w:szCs w:val="32"/>
        </w:rPr>
        <w:t xml:space="preserve">AI-Powered Clinical Skills Verification Platform</w:t>
      </w:r>
    </w:p>
    <w:p>
      <w:pPr>
        <w:spacing w:after="80" w:before="0"/>
      </w:pPr>
      <w:r>
        <w:rPr>
          <w:rFonts w:ascii="Arial" w:cs="Arial" w:eastAsia="Arial" w:hAnsi="Arial"/>
          <w:color w:val="555555"/>
          <w:sz w:val="22"/>
          <w:szCs w:val="22"/>
        </w:rPr>
        <w:t xml:space="preserve">Hackathon Submission — Track 1: AI Video Agents for Vertical Industries</w:t>
      </w:r>
    </w:p>
    <w:p>
      <w:pPr>
        <w:spacing w:after="600" w:before="0"/>
      </w:pPr>
      <w:r>
        <w:rPr>
          <w:rFonts w:ascii="Arial" w:cs="Arial" w:eastAsia="Arial" w:hAnsi="Arial"/>
          <w:color w:val="888888"/>
          <w:sz w:val="22"/>
          <w:szCs w:val="22"/>
        </w:rPr>
        <w:t xml:space="preserve">April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6E4F7" w:val="clear"/>
            <w:tcMar>
              <w:top w:type="dxa" w:w="120"/>
              <w:left w:type="dxa" w:w="180"/>
              <w:bottom w:type="dxa" w:w="120"/>
              <w:right w:type="dxa" w:w="180"/>
            </w:tcMar>
          </w:tcPr>
          <w:p>
            <w:pPr>
              <w:jc w:val="center"/>
            </w:pPr>
            <w:r>
              <w:rPr>
                <w:rFonts w:ascii="Arial" w:cs="Arial" w:eastAsia="Arial" w:hAnsi="Arial"/>
                <w:b/>
                <w:bCs/>
                <w:color w:val="1A56A0"/>
                <w:sz w:val="24"/>
                <w:szCs w:val="24"/>
              </w:rPr>
              <w:t xml:space="preserve">Luma Photon</w:t>
            </w:r>
          </w:p>
          <w:p>
            <w:pPr>
              <w:jc w:val="center"/>
            </w:pPr>
            <w:r>
              <w:rPr>
                <w:rFonts w:ascii="Arial" w:cs="Arial" w:eastAsia="Arial" w:hAnsi="Arial"/>
                <w:color w:val="444444"/>
                <w:sz w:val="18"/>
                <w:szCs w:val="18"/>
              </w:rPr>
              <w:t xml:space="preserve">Reference video generation</w:t>
            </w:r>
          </w:p>
        </w:tc>
        <w:tc>
          <w:tcPr>
            <w:tcW w:type="dxa" w:w="3120"/>
            <w:tcBorders>
              <w:top w:val="none" w:color="FFFFFF" w:sz="0"/>
              <w:left w:val="none" w:color="FFFFFF" w:sz="0"/>
              <w:bottom w:val="none" w:color="FFFFFF" w:sz="0"/>
              <w:right w:val="none" w:color="FFFFFF" w:sz="0"/>
            </w:tcBorders>
            <w:shd w:fill="D4F0EB" w:val="clear"/>
            <w:tcMar>
              <w:top w:type="dxa" w:w="120"/>
              <w:left w:type="dxa" w:w="180"/>
              <w:bottom w:type="dxa" w:w="120"/>
              <w:right w:type="dxa" w:w="180"/>
            </w:tcMar>
          </w:tcPr>
          <w:p>
            <w:pPr>
              <w:jc w:val="center"/>
            </w:pPr>
            <w:r>
              <w:rPr>
                <w:rFonts w:ascii="Arial" w:cs="Arial" w:eastAsia="Arial" w:hAnsi="Arial"/>
                <w:b/>
                <w:bCs/>
                <w:color w:val="0E7C6B"/>
                <w:sz w:val="24"/>
                <w:szCs w:val="24"/>
              </w:rPr>
              <w:t xml:space="preserve">Butterbase</w:t>
            </w:r>
          </w:p>
          <w:p>
            <w:pPr>
              <w:jc w:val="center"/>
            </w:pPr>
            <w:r>
              <w:rPr>
                <w:rFonts w:ascii="Arial" w:cs="Arial" w:eastAsia="Arial" w:hAnsi="Arial"/>
                <w:color w:val="444444"/>
                <w:sz w:val="18"/>
                <w:szCs w:val="18"/>
              </w:rPr>
              <w:t xml:space="preserve">Instant backend provisioning</w:t>
            </w:r>
          </w:p>
        </w:tc>
        <w:tc>
          <w:tcPr>
            <w:tcW w:type="dxa" w:w="3120"/>
            <w:tcBorders>
              <w:top w:val="none" w:color="FFFFFF" w:sz="0"/>
              <w:left w:val="none" w:color="FFFFFF" w:sz="0"/>
              <w:bottom w:val="none" w:color="FFFFFF" w:sz="0"/>
              <w:right w:val="none" w:color="FFFFFF" w:sz="0"/>
            </w:tcBorders>
            <w:shd w:fill="FFF0D0" w:val="clear"/>
            <w:tcMar>
              <w:top w:type="dxa" w:w="120"/>
              <w:left w:type="dxa" w:w="180"/>
              <w:bottom w:type="dxa" w:w="120"/>
              <w:right w:type="dxa" w:w="180"/>
            </w:tcMar>
          </w:tcPr>
          <w:p>
            <w:pPr>
              <w:jc w:val="center"/>
            </w:pPr>
            <w:r>
              <w:rPr>
                <w:rFonts w:ascii="Arial" w:cs="Arial" w:eastAsia="Arial" w:hAnsi="Arial"/>
                <w:b/>
                <w:bCs/>
                <w:color w:val="7A4800"/>
                <w:sz w:val="24"/>
                <w:szCs w:val="24"/>
              </w:rPr>
              <w:t xml:space="preserve">Cumulus Labs</w:t>
            </w:r>
          </w:p>
          <w:p>
            <w:pPr>
              <w:jc w:val="center"/>
            </w:pPr>
            <w:r>
              <w:rPr>
                <w:rFonts w:ascii="Arial" w:cs="Arial" w:eastAsia="Arial" w:hAnsi="Arial"/>
                <w:color w:val="444444"/>
                <w:sz w:val="18"/>
                <w:szCs w:val="18"/>
              </w:rPr>
              <w:t xml:space="preserve">Serverless GPU inference</w:t>
            </w:r>
          </w:p>
        </w:tc>
      </w:tr>
    </w:tbl>
    <w:p>
      <w:r>
        <w:br w:type="page"/>
      </w:r>
    </w:p>
    <w:p>
      <w:pPr>
        <w:pStyle w:val="Heading1"/>
        <w:spacing w:after="120" w:before="360"/>
      </w:pPr>
      <w:r>
        <w:rPr>
          <w:rFonts w:ascii="Arial" w:cs="Arial" w:eastAsia="Arial" w:hAnsi="Arial"/>
          <w:b/>
          <w:bCs/>
          <w:color w:val="1A56A0"/>
          <w:sz w:val="36"/>
          <w:szCs w:val="36"/>
        </w:rPr>
        <w:t xml:space="preserve">1. The Problem</w:t>
      </w:r>
    </w:p>
    <w:p>
      <w:pPr>
        <w:spacing w:after="80" w:before="60"/>
      </w:pPr>
      <w:r>
        <w:rPr>
          <w:rFonts w:ascii="Arial" w:cs="Arial" w:eastAsia="Arial" w:hAnsi="Arial"/>
          <w:sz w:val="22"/>
          <w:szCs w:val="22"/>
        </w:rPr>
        <w:t xml:space="preserve">Healthcare and first-aid compliance training has not changed in decades. Learners watch a video, click through a quiz, and receive a certificate — regardless of whether they can actually perform the skill. Human assessors are slow, expensive, and inconsistent. There is no scalable way to verify that a nurse, care worker, or first responder can correctly perform CPR, use an AED, or administer an EpiPen.</w:t>
      </w:r>
    </w:p>
    <w:p>
      <w:pPr>
        <w:spacing w:after="60" w:before="60"/>
      </w:pPr>
      <w:r>
        <w:t xml:space="preserve"/>
      </w:r>
    </w:p>
    <w:p>
      <w:pPr>
        <w:spacing w:after="80" w:before="60"/>
      </w:pPr>
      <w:r>
        <w:rPr>
          <w:rFonts w:ascii="Arial" w:cs="Arial" w:eastAsia="Arial" w:hAnsi="Arial"/>
          <w:b/>
          <w:bCs/>
          <w:sz w:val="22"/>
          <w:szCs w:val="22"/>
        </w:rPr>
        <w:t xml:space="preserve">The consequences are real:</w:t>
      </w:r>
    </w:p>
    <w:p>
      <w:pPr>
        <w:pStyle w:val="ListParagraph"/>
        <w:numPr>
          <w:ilvl w:val="0"/>
          <w:numId w:val="2"/>
        </w:numPr>
        <w:spacing w:after="40" w:before="40"/>
      </w:pPr>
      <w:r>
        <w:rPr>
          <w:rFonts w:ascii="Arial" w:cs="Arial" w:eastAsia="Arial" w:hAnsi="Arial"/>
          <w:b w:val="false"/>
          <w:bCs w:val="false"/>
          <w:sz w:val="22"/>
          <w:szCs w:val="22"/>
        </w:rPr>
        <w:t xml:space="preserve">Over 350,000 cardiac arrests occur outside hospitals in the US annually</w:t>
      </w:r>
    </w:p>
    <w:p>
      <w:pPr>
        <w:pStyle w:val="ListParagraph"/>
        <w:numPr>
          <w:ilvl w:val="0"/>
          <w:numId w:val="2"/>
        </w:numPr>
        <w:spacing w:after="40" w:before="40"/>
      </w:pPr>
      <w:r>
        <w:rPr>
          <w:rFonts w:ascii="Arial" w:cs="Arial" w:eastAsia="Arial" w:hAnsi="Arial"/>
          <w:b w:val="false"/>
          <w:bCs w:val="false"/>
          <w:sz w:val="22"/>
          <w:szCs w:val="22"/>
        </w:rPr>
        <w:t xml:space="preserve">Studies show 70–80% of CPR performed by certified individuals does not meet AHA guidelines</w:t>
      </w:r>
    </w:p>
    <w:p>
      <w:pPr>
        <w:pStyle w:val="ListParagraph"/>
        <w:numPr>
          <w:ilvl w:val="0"/>
          <w:numId w:val="2"/>
        </w:numPr>
        <w:spacing w:after="40" w:before="40"/>
      </w:pPr>
      <w:r>
        <w:rPr>
          <w:rFonts w:ascii="Arial" w:cs="Arial" w:eastAsia="Arial" w:hAnsi="Arial"/>
          <w:b w:val="false"/>
          <w:bCs w:val="false"/>
          <w:sz w:val="22"/>
          <w:szCs w:val="22"/>
        </w:rPr>
        <w:t xml:space="preserve">Hospitals and care facilities face significant liability when staff certifications are checkbox-only</w:t>
      </w:r>
    </w:p>
    <w:p>
      <w:pPr>
        <w:spacing w:after="60" w:before="60"/>
      </w:pPr>
      <w:r>
        <w:t xml:space="preserve"/>
      </w:r>
    </w:p>
    <w:p>
      <w:pPr>
        <w:pStyle w:val="Heading1"/>
        <w:spacing w:after="120" w:before="360"/>
      </w:pPr>
      <w:r>
        <w:rPr>
          <w:rFonts w:ascii="Arial" w:cs="Arial" w:eastAsia="Arial" w:hAnsi="Arial"/>
          <w:b/>
          <w:bCs/>
          <w:color w:val="1A56A0"/>
          <w:sz w:val="36"/>
          <w:szCs w:val="36"/>
        </w:rPr>
        <w:t xml:space="preserve">2. Our Solution</w:t>
      </w:r>
    </w:p>
    <w:p>
      <w:pPr>
        <w:spacing w:after="80" w:before="60"/>
      </w:pPr>
      <w:r>
        <w:rPr>
          <w:rFonts w:ascii="Arial" w:cs="Arial" w:eastAsia="Arial" w:hAnsi="Arial"/>
          <w:sz w:val="22"/>
          <w:szCs w:val="22"/>
        </w:rPr>
        <w:t xml:space="preserve">SkillCert AI is a video-based skills certification platform. Learners watch a high-quality AI-generated reference video demonstrating the correct technique, record themselves performing the skill, upload the video, and receive structured AI feedback against a clinical rubric. They must pass every criterion before progressing to the next module.</w:t>
      </w:r>
    </w:p>
    <w:p>
      <w:pPr>
        <w:spacing w:after="60" w:before="60"/>
      </w:pPr>
      <w:r>
        <w:t xml:space="preserve"/>
      </w:r>
    </w:p>
    <w:p>
      <w:pPr>
        <w:spacing w:after="80" w:before="60"/>
      </w:pPr>
      <w:r>
        <w:rPr>
          <w:rFonts w:ascii="Arial" w:cs="Arial" w:eastAsia="Arial" w:hAnsi="Arial"/>
          <w:b/>
          <w:bCs/>
          <w:sz w:val="22"/>
          <w:szCs w:val="22"/>
        </w:rPr>
        <w:t xml:space="preserve">The core loop:</w:t>
      </w:r>
    </w:p>
    <w:p>
      <w:pPr>
        <w:pStyle w:val="ListParagraph"/>
        <w:numPr>
          <w:ilvl w:val="0"/>
          <w:numId w:val="2"/>
        </w:numPr>
        <w:spacing w:after="40" w:before="40"/>
      </w:pPr>
      <w:r>
        <w:rPr>
          <w:rFonts w:ascii="Arial" w:cs="Arial" w:eastAsia="Arial" w:hAnsi="Arial"/>
          <w:b w:val="false"/>
          <w:bCs w:val="false"/>
          <w:sz w:val="22"/>
          <w:szCs w:val="22"/>
        </w:rPr>
        <w:t xml:space="preserve">Watch — AI-generated reference video with annotated overlays (Luma Photon)</w:t>
      </w:r>
    </w:p>
    <w:p>
      <w:pPr>
        <w:pStyle w:val="ListParagraph"/>
        <w:numPr>
          <w:ilvl w:val="0"/>
          <w:numId w:val="2"/>
        </w:numPr>
        <w:spacing w:after="40" w:before="40"/>
      </w:pPr>
      <w:r>
        <w:rPr>
          <w:rFonts w:ascii="Arial" w:cs="Arial" w:eastAsia="Arial" w:hAnsi="Arial"/>
          <w:b w:val="false"/>
          <w:bCs w:val="false"/>
          <w:sz w:val="22"/>
          <w:szCs w:val="22"/>
        </w:rPr>
        <w:t xml:space="preserve">Record — Learner films themselves on any phone or webcam</w:t>
      </w:r>
    </w:p>
    <w:p>
      <w:pPr>
        <w:pStyle w:val="ListParagraph"/>
        <w:numPr>
          <w:ilvl w:val="0"/>
          <w:numId w:val="2"/>
        </w:numPr>
        <w:spacing w:after="40" w:before="40"/>
      </w:pPr>
      <w:r>
        <w:rPr>
          <w:rFonts w:ascii="Arial" w:cs="Arial" w:eastAsia="Arial" w:hAnsi="Arial"/>
          <w:b w:val="false"/>
          <w:bCs w:val="false"/>
          <w:sz w:val="22"/>
          <w:szCs w:val="22"/>
        </w:rPr>
        <w:t xml:space="preserve">Upload — Video stored and processed via Butterbase-provisioned backend</w:t>
      </w:r>
    </w:p>
    <w:p>
      <w:pPr>
        <w:pStyle w:val="ListParagraph"/>
        <w:numPr>
          <w:ilvl w:val="0"/>
          <w:numId w:val="2"/>
        </w:numPr>
        <w:spacing w:after="40" w:before="40"/>
      </w:pPr>
      <w:r>
        <w:rPr>
          <w:rFonts w:ascii="Arial" w:cs="Arial" w:eastAsia="Arial" w:hAnsi="Arial"/>
          <w:b w:val="false"/>
          <w:bCs w:val="false"/>
          <w:sz w:val="22"/>
          <w:szCs w:val="22"/>
        </w:rPr>
        <w:t xml:space="preserve">Verify — Claude Vision scores each rubric criterion via Cumulus GPU inference</w:t>
      </w:r>
    </w:p>
    <w:p>
      <w:pPr>
        <w:pStyle w:val="ListParagraph"/>
        <w:numPr>
          <w:ilvl w:val="0"/>
          <w:numId w:val="2"/>
        </w:numPr>
        <w:spacing w:after="40" w:before="40"/>
      </w:pPr>
      <w:r>
        <w:rPr>
          <w:rFonts w:ascii="Arial" w:cs="Arial" w:eastAsia="Arial" w:hAnsi="Arial"/>
          <w:b w:val="false"/>
          <w:bCs w:val="false"/>
          <w:sz w:val="22"/>
          <w:szCs w:val="22"/>
        </w:rPr>
        <w:t xml:space="preserve">Feedback — Timestamped, criterion-level results with specific improvement guidance</w:t>
      </w:r>
    </w:p>
    <w:p>
      <w:pPr>
        <w:pStyle w:val="ListParagraph"/>
        <w:numPr>
          <w:ilvl w:val="0"/>
          <w:numId w:val="2"/>
        </w:numPr>
        <w:spacing w:after="40" w:before="40"/>
      </w:pPr>
      <w:r>
        <w:rPr>
          <w:rFonts w:ascii="Arial" w:cs="Arial" w:eastAsia="Arial" w:hAnsi="Arial"/>
          <w:b w:val="false"/>
          <w:bCs w:val="false"/>
          <w:sz w:val="22"/>
          <w:szCs w:val="22"/>
        </w:rPr>
        <w:t xml:space="preserve">Pass or Retry — Learner must achieve full pass before module unlocks</w:t>
      </w:r>
    </w:p>
    <w:p>
      <w:pPr>
        <w:spacing w:after="60" w:before="60"/>
      </w:pPr>
      <w:r>
        <w:t xml:space="preserve"/>
      </w:r>
    </w:p>
    <w:p>
      <w:pPr>
        <w:pStyle w:val="Heading1"/>
        <w:spacing w:after="120" w:before="360"/>
      </w:pPr>
      <w:r>
        <w:rPr>
          <w:rFonts w:ascii="Arial" w:cs="Arial" w:eastAsia="Arial" w:hAnsi="Arial"/>
          <w:b/>
          <w:bCs/>
          <w:color w:val="1A56A0"/>
          <w:sz w:val="36"/>
          <w:szCs w:val="36"/>
        </w:rPr>
        <w:t xml:space="preserve">3. Tool Integration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A56A0"/>
                <w:sz w:val="24"/>
                <w:szCs w:val="24"/>
              </w:rPr>
              <w:t xml:space="preserve">Luma Photon</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Role: </w:t>
            </w:r>
            <w:r>
              <w:rPr>
                <w:rFonts w:ascii="Arial" w:cs="Arial" w:eastAsia="Arial" w:hAnsi="Arial"/>
                <w:sz w:val="20"/>
                <w:szCs w:val="20"/>
              </w:rPr>
              <w:t xml:space="preserve">Generate photorealistic reference training videos for each clinical skill module</w:t>
            </w:r>
          </w:p>
          <w:p>
            <w:pPr>
              <w:spacing w:before="60"/>
            </w:pPr>
            <w:r>
              <w:rPr>
                <w:rFonts w:ascii="Arial" w:cs="Arial" w:eastAsia="Arial" w:hAnsi="Arial"/>
                <w:b/>
                <w:bCs/>
                <w:sz w:val="20"/>
                <w:szCs w:val="20"/>
              </w:rPr>
              <w:t xml:space="preserve">Integration: </w:t>
            </w:r>
            <w:r>
              <w:rPr>
                <w:rFonts w:ascii="Arial" w:cs="Arial" w:eastAsia="Arial" w:hAnsi="Arial"/>
                <w:sz w:val="20"/>
                <w:szCs w:val="20"/>
              </w:rPr>
              <w:t xml:space="preserve">We use Luma Photon’s text-to-image API to create high-quality still frames and scene compositions for the reference video for each module. Photon’s natural language prompt understanding lets us specify clinical accuracy requirements (hand placement, angle, lighting) without prompt engineering. Images are composed into annotated video walkthroughs with voiceover.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4F0EB" w:val="clear"/>
            <w:tcMar>
              <w:top w:type="dxa" w:w="100"/>
              <w:left w:type="dxa" w:w="140"/>
              <w:bottom w:type="dxa" w:w="100"/>
              <w:right w:type="dxa" w:w="140"/>
            </w:tcMar>
          </w:tcPr>
          <w:p>
            <w:r>
              <w:rPr>
                <w:rFonts w:ascii="Arial" w:cs="Arial" w:eastAsia="Arial" w:hAnsi="Arial"/>
                <w:b/>
                <w:bCs/>
                <w:color w:val="0E7C6B"/>
                <w:sz w:val="24"/>
                <w:szCs w:val="24"/>
              </w:rPr>
              <w:t xml:space="preserve">Butterbase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Role: </w:t>
            </w:r>
            <w:r>
              <w:rPr>
                <w:rFonts w:ascii="Arial" w:cs="Arial" w:eastAsia="Arial" w:hAnsi="Arial"/>
                <w:sz w:val="20"/>
                <w:szCs w:val="20"/>
              </w:rPr>
              <w:t xml:space="preserve">Instant backend provisioning — database, auth, storage, and API endpoints</w:t>
            </w:r>
          </w:p>
          <w:p>
            <w:pPr>
              <w:spacing w:before="60"/>
            </w:pPr>
            <w:r>
              <w:rPr>
                <w:rFonts w:ascii="Arial" w:cs="Arial" w:eastAsia="Arial" w:hAnsi="Arial"/>
                <w:b/>
                <w:bCs/>
                <w:sz w:val="20"/>
                <w:szCs w:val="20"/>
              </w:rPr>
              <w:t xml:space="preserve">Integration: </w:t>
            </w:r>
            <w:r>
              <w:rPr>
                <w:rFonts w:ascii="Arial" w:cs="Arial" w:eastAsia="Arial" w:hAnsi="Arial"/>
                <w:sz w:val="20"/>
                <w:szCs w:val="20"/>
              </w:rPr>
              <w:t xml:space="preserve">Butterbase reads our Next.js frontend and auto-provisions the full backend: user auth, learner progress database, video upload storage, module unlock logic, and instructor dashboard APIs. This replaces weeks of backend setup with a single integration, letting us focus entirely on the AI verification layer during the hackathon.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0D0" w:val="clear"/>
            <w:tcMar>
              <w:top w:type="dxa" w:w="100"/>
              <w:left w:type="dxa" w:w="140"/>
              <w:bottom w:type="dxa" w:w="100"/>
              <w:right w:type="dxa" w:w="140"/>
            </w:tcMar>
          </w:tcPr>
          <w:p>
            <w:r>
              <w:rPr>
                <w:rFonts w:ascii="Arial" w:cs="Arial" w:eastAsia="Arial" w:hAnsi="Arial"/>
                <w:b/>
                <w:bCs/>
                <w:color w:val="7A4800"/>
                <w:sz w:val="24"/>
                <w:szCs w:val="24"/>
              </w:rPr>
              <w:t xml:space="preserve">Cumulus Labs</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Role: </w:t>
            </w:r>
            <w:r>
              <w:rPr>
                <w:rFonts w:ascii="Arial" w:cs="Arial" w:eastAsia="Arial" w:hAnsi="Arial"/>
                <w:sz w:val="20"/>
                <w:szCs w:val="20"/>
              </w:rPr>
              <w:t xml:space="preserve">Serverless GPU inference for Claude Vision rubric scoring</w:t>
            </w:r>
          </w:p>
          <w:p>
            <w:pPr>
              <w:spacing w:before="60"/>
            </w:pPr>
            <w:r>
              <w:rPr>
                <w:rFonts w:ascii="Arial" w:cs="Arial" w:eastAsia="Arial" w:hAnsi="Arial"/>
                <w:b/>
                <w:bCs/>
                <w:sz w:val="20"/>
                <w:szCs w:val="20"/>
              </w:rPr>
              <w:t xml:space="preserve">Integration: </w:t>
            </w:r>
            <w:r>
              <w:rPr>
                <w:rFonts w:ascii="Arial" w:cs="Arial" w:eastAsia="Arial" w:hAnsi="Arial"/>
                <w:sz w:val="20"/>
                <w:szCs w:val="20"/>
              </w:rPr>
              <w:t xml:space="preserve">Video analysis via a vision-language model is GPU-intensive. Cumulus Labs provides serverless GPU infrastructure with 12.5-second cold starts and scale-to-zero billing — meaning we only pay for the seconds our verification pipeline is actually running. We deploy our Claude Vision scoring endpoint on Cumulus, which handles autoscaling automatically as submissions come in.</w:t>
            </w:r>
          </w:p>
        </w:tc>
      </w:tr>
    </w:tbl>
    <w:p>
      <w:pPr>
        <w:spacing w:after="60" w:before="60"/>
      </w:pPr>
      <w:r>
        <w:t xml:space="preserve"/>
      </w:r>
    </w:p>
    <w:p>
      <w:pPr>
        <w:pBdr>
          <w:bottom w:val="single" w:color="DDDDDD" w:sz="4" w:space="1"/>
        </w:pBdr>
        <w:spacing w:after="120" w:before="120"/>
      </w:pPr>
      <w:r>
        <w:t xml:space="preserve"/>
      </w:r>
    </w:p>
    <w:p>
      <w:pPr>
        <w:pStyle w:val="Heading1"/>
        <w:spacing w:after="120" w:before="360"/>
      </w:pPr>
      <w:r>
        <w:rPr>
          <w:rFonts w:ascii="Arial" w:cs="Arial" w:eastAsia="Arial" w:hAnsi="Arial"/>
          <w:b/>
          <w:bCs/>
          <w:color w:val="1A56A0"/>
          <w:sz w:val="36"/>
          <w:szCs w:val="36"/>
        </w:rPr>
        <w:t xml:space="preserve">4. Verification Rubric (CPR Module)</w:t>
      </w:r>
    </w:p>
    <w:p>
      <w:pPr>
        <w:spacing w:after="80" w:before="60"/>
      </w:pPr>
      <w:r>
        <w:rPr>
          <w:rFonts w:ascii="Arial" w:cs="Arial" w:eastAsia="Arial" w:hAnsi="Arial"/>
          <w:sz w:val="22"/>
          <w:szCs w:val="22"/>
        </w:rPr>
        <w:t xml:space="preserve">Each uploaded video is analyzed by a vision-language model against the following rubric. Each criterion is scored independently. A full pass requires all five criteria to pass. The model also returns timestamps of moments where any criterion is failing, surfaced in the feedback UI.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1560"/>
        <w:gridCol w:w="124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Scoring</w:t>
            </w:r>
          </w:p>
        </w:tc>
        <w:tc>
          <w:tcPr>
            <w:tcW w:type="dxa" w:w="12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Hand placement</w:t>
            </w:r>
          </w:p>
        </w:tc>
        <w:tc>
          <w:tcPr>
            <w:tcW w:type="dxa" w:w="4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Interlocked hands, heel of hand on lower third of sternum</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Pass / Fail</w:t>
            </w:r>
          </w:p>
        </w:tc>
        <w:tc>
          <w:tcPr>
            <w:tcW w:type="dxa" w:w="1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 position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Elbows locked straight, shoulders over patient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 Fail</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Compression rate</w:t>
            </w:r>
          </w:p>
        </w:tc>
        <w:tc>
          <w:tcPr>
            <w:tcW w:type="dxa" w:w="4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100–120 compressions per minute</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0–10 score</w:t>
            </w:r>
          </w:p>
        </w:tc>
        <w:tc>
          <w:tcPr>
            <w:tcW w:type="dxa" w:w="1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Chest recoil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recoil between compressions, hands not pressing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 Partial / Fail</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Rhythm consistency</w:t>
            </w:r>
          </w:p>
        </w:tc>
        <w:tc>
          <w:tcPr>
            <w:tcW w:type="dxa" w:w="4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Steady pace maintained for full 30-compression cycle</w:t>
            </w:r>
          </w:p>
        </w:tc>
        <w:tc>
          <w:tcPr>
            <w:tcW w:type="dxa" w:w="1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Pass / Fail</w:t>
            </w:r>
          </w:p>
        </w:tc>
        <w:tc>
          <w:tcPr>
            <w:tcW w:type="dxa" w:w="1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sz w:val="20"/>
                <w:szCs w:val="20"/>
              </w:rPr>
              <w:t xml:space="preserve">20%</w:t>
            </w:r>
          </w:p>
        </w:tc>
      </w:tr>
    </w:tbl>
    <w:p>
      <w:pPr>
        <w:spacing w:after="60" w:before="60"/>
      </w:pPr>
      <w:r>
        <w:t xml:space="preserve"/>
      </w:r>
    </w:p>
    <w:p>
      <w:pPr>
        <w:spacing w:after="80" w:before="60"/>
      </w:pPr>
      <w:r>
        <w:rPr>
          <w:rFonts w:ascii="Arial" w:cs="Arial" w:eastAsia="Arial" w:hAnsi="Arial"/>
          <w:sz w:val="22"/>
          <w:szCs w:val="22"/>
        </w:rPr>
        <w:t xml:space="preserve">The same rubric framework is applied across all skill modules. Criteria are defined per-skill by a clinical subject matter expert and encoded as structured prompts.</w:t>
      </w:r>
    </w:p>
    <w:p>
      <w:pPr>
        <w:spacing w:after="60" w:before="60"/>
      </w:pPr>
      <w:r>
        <w:t xml:space="preserve"/>
      </w:r>
    </w:p>
    <w:p>
      <w:pPr>
        <w:pBdr>
          <w:bottom w:val="single" w:color="DDDDDD" w:sz="4" w:space="1"/>
        </w:pBdr>
        <w:spacing w:after="120" w:before="120"/>
      </w:pPr>
      <w:r>
        <w:t xml:space="preserve"/>
      </w:r>
    </w:p>
    <w:p>
      <w:pPr>
        <w:pStyle w:val="Heading1"/>
        <w:spacing w:after="120" w:before="360"/>
      </w:pPr>
      <w:r>
        <w:rPr>
          <w:rFonts w:ascii="Arial" w:cs="Arial" w:eastAsia="Arial" w:hAnsi="Arial"/>
          <w:b/>
          <w:bCs/>
          <w:color w:val="1A56A0"/>
          <w:sz w:val="36"/>
          <w:szCs w:val="36"/>
        </w:rPr>
        <w:t xml:space="preserve">5. Skill Module Roadmap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verification criteria</w:t>
            </w:r>
          </w:p>
        </w:tc>
      </w:tr>
      <w:tr>
        <w:tc>
          <w:tcPr>
            <w:tcW w:type="dxa" w:w="2400"/>
            <w:tcBorders>
              <w:top w:val="single" w:color="CCCCCC" w:sz="1"/>
              <w:left w:val="single" w:color="CCCCCC" w:sz="1"/>
              <w:bottom w:val="single" w:color="CCCCCC" w:sz="1"/>
              <w:right w:val="single" w:color="CCCCCC" w:sz="1"/>
            </w:tcBorders>
            <w:shd w:fill="D4F0EB" w:val="clear"/>
            <w:tcMar>
              <w:top w:type="dxa" w:w="80"/>
              <w:left w:type="dxa" w:w="120"/>
              <w:bottom w:type="dxa" w:w="80"/>
              <w:right w:type="dxa" w:w="120"/>
            </w:tcMar>
          </w:tcPr>
          <w:p>
            <w:r>
              <w:rPr>
                <w:rFonts w:ascii="Arial" w:cs="Arial" w:eastAsia="Arial" w:hAnsi="Arial"/>
                <w:b/>
                <w:bCs/>
                <w:sz w:val="20"/>
                <w:szCs w:val="20"/>
              </w:rPr>
              <w:t xml:space="preserve">Adult CPR</w:t>
            </w:r>
          </w:p>
        </w:tc>
        <w:tc>
          <w:tcPr>
            <w:tcW w:type="dxa" w:w="1600"/>
            <w:tcBorders>
              <w:top w:val="single" w:color="CCCCCC" w:sz="1"/>
              <w:left w:val="single" w:color="CCCCCC" w:sz="1"/>
              <w:bottom w:val="single" w:color="CCCCCC" w:sz="1"/>
              <w:right w:val="single" w:color="CCCCCC" w:sz="1"/>
            </w:tcBorders>
            <w:shd w:fill="D4F0EB" w:val="clear"/>
            <w:tcMar>
              <w:top w:type="dxa" w:w="80"/>
              <w:left w:type="dxa" w:w="120"/>
              <w:bottom w:type="dxa" w:w="80"/>
              <w:right w:type="dxa" w:w="120"/>
            </w:tcMar>
          </w:tcPr>
          <w:p>
            <w:r>
              <w:rPr>
                <w:rFonts w:ascii="Arial" w:cs="Arial" w:eastAsia="Arial" w:hAnsi="Arial"/>
                <w:color w:val="0A6640"/>
                <w:sz w:val="20"/>
                <w:szCs w:val="20"/>
              </w:rPr>
              <w:t xml:space="preserve">Demo-ready</w:t>
            </w:r>
          </w:p>
        </w:tc>
        <w:tc>
          <w:tcPr>
            <w:tcW w:type="dxa" w:w="5360"/>
            <w:tcBorders>
              <w:top w:val="single" w:color="CCCCCC" w:sz="1"/>
              <w:left w:val="single" w:color="CCCCCC" w:sz="1"/>
              <w:bottom w:val="single" w:color="CCCCCC" w:sz="1"/>
              <w:right w:val="single" w:color="CCCCCC" w:sz="1"/>
            </w:tcBorders>
            <w:shd w:fill="D4F0EB" w:val="clear"/>
            <w:tcMar>
              <w:top w:type="dxa" w:w="80"/>
              <w:left w:type="dxa" w:w="120"/>
              <w:bottom w:type="dxa" w:w="80"/>
              <w:right w:type="dxa" w:w="120"/>
            </w:tcMar>
          </w:tcPr>
          <w:p>
            <w:r>
              <w:rPr>
                <w:rFonts w:ascii="Arial" w:cs="Arial" w:eastAsia="Arial" w:hAnsi="Arial"/>
                <w:sz w:val="20"/>
                <w:szCs w:val="20"/>
              </w:rPr>
              <w:t xml:space="preserve">Hand placement, arm position, rate, recoil, rhythm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AED use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6640"/>
                <w:sz w:val="20"/>
                <w:szCs w:val="20"/>
              </w:rPr>
              <w:t xml:space="preserve">Demo-ready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Pad placement, clear call, correct CPR sequence, timing</w:t>
            </w:r>
          </w:p>
        </w:tc>
      </w:tr>
      <w:tr>
        <w:tc>
          <w:tcPr>
            <w:tcW w:type="dxa" w:w="2400"/>
            <w:tcBorders>
              <w:top w:val="single" w:color="CCCCCC" w:sz="1"/>
              <w:left w:val="single" w:color="CCCCCC" w:sz="1"/>
              <w:bottom w:val="single" w:color="CCCCCC" w:sz="1"/>
              <w:right w:val="single" w:color="CCCCCC" w:sz="1"/>
            </w:tcBorders>
            <w:shd w:fill="D4F0EB" w:val="clear"/>
            <w:tcMar>
              <w:top w:type="dxa" w:w="80"/>
              <w:left w:type="dxa" w:w="120"/>
              <w:bottom w:type="dxa" w:w="80"/>
              <w:right w:type="dxa" w:w="120"/>
            </w:tcMar>
          </w:tcPr>
          <w:p>
            <w:r>
              <w:rPr>
                <w:rFonts w:ascii="Arial" w:cs="Arial" w:eastAsia="Arial" w:hAnsi="Arial"/>
                <w:b/>
                <w:bCs/>
                <w:sz w:val="20"/>
                <w:szCs w:val="20"/>
              </w:rPr>
              <w:t xml:space="preserve">Heimlich maneuver</w:t>
            </w:r>
          </w:p>
        </w:tc>
        <w:tc>
          <w:tcPr>
            <w:tcW w:type="dxa" w:w="1600"/>
            <w:tcBorders>
              <w:top w:val="single" w:color="CCCCCC" w:sz="1"/>
              <w:left w:val="single" w:color="CCCCCC" w:sz="1"/>
              <w:bottom w:val="single" w:color="CCCCCC" w:sz="1"/>
              <w:right w:val="single" w:color="CCCCCC" w:sz="1"/>
            </w:tcBorders>
            <w:shd w:fill="D4F0EB" w:val="clear"/>
            <w:tcMar>
              <w:top w:type="dxa" w:w="80"/>
              <w:left w:type="dxa" w:w="120"/>
              <w:bottom w:type="dxa" w:w="80"/>
              <w:right w:type="dxa" w:w="120"/>
            </w:tcMar>
          </w:tcPr>
          <w:p>
            <w:r>
              <w:rPr>
                <w:rFonts w:ascii="Arial" w:cs="Arial" w:eastAsia="Arial" w:hAnsi="Arial"/>
                <w:color w:val="555555"/>
                <w:sz w:val="20"/>
                <w:szCs w:val="20"/>
              </w:rPr>
              <w:t xml:space="preserve">Planned v2</w:t>
            </w:r>
          </w:p>
        </w:tc>
        <w:tc>
          <w:tcPr>
            <w:tcW w:type="dxa" w:w="5360"/>
            <w:tcBorders>
              <w:top w:val="single" w:color="CCCCCC" w:sz="1"/>
              <w:left w:val="single" w:color="CCCCCC" w:sz="1"/>
              <w:bottom w:val="single" w:color="CCCCCC" w:sz="1"/>
              <w:right w:val="single" w:color="CCCCCC" w:sz="1"/>
            </w:tcBorders>
            <w:shd w:fill="D4F0EB" w:val="clear"/>
            <w:tcMar>
              <w:top w:type="dxa" w:w="80"/>
              <w:left w:type="dxa" w:w="120"/>
              <w:bottom w:type="dxa" w:w="80"/>
              <w:right w:type="dxa" w:w="120"/>
            </w:tcMar>
          </w:tcPr>
          <w:p>
            <w:r>
              <w:rPr>
                <w:rFonts w:ascii="Arial" w:cs="Arial" w:eastAsia="Arial" w:hAnsi="Arial"/>
                <w:sz w:val="20"/>
                <w:szCs w:val="20"/>
              </w:rPr>
              <w:t xml:space="preserve">Hand position, thrust angle and direction, back blow technique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Recovery position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Planned v2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 tilt, airway alignment, arm/leg positioning, stability</w:t>
            </w:r>
          </w:p>
        </w:tc>
      </w:tr>
      <w:tr>
        <w:tc>
          <w:tcPr>
            <w:tcW w:type="dxa" w:w="2400"/>
            <w:tcBorders>
              <w:top w:val="single" w:color="CCCCCC" w:sz="1"/>
              <w:left w:val="single" w:color="CCCCCC" w:sz="1"/>
              <w:bottom w:val="single" w:color="CCCCCC" w:sz="1"/>
              <w:right w:val="single" w:color="CCCCCC" w:sz="1"/>
            </w:tcBorders>
            <w:shd w:fill="D4F0EB" w:val="clear"/>
            <w:tcMar>
              <w:top w:type="dxa" w:w="80"/>
              <w:left w:type="dxa" w:w="120"/>
              <w:bottom w:type="dxa" w:w="80"/>
              <w:right w:type="dxa" w:w="120"/>
            </w:tcMar>
          </w:tcPr>
          <w:p>
            <w:r>
              <w:rPr>
                <w:rFonts w:ascii="Arial" w:cs="Arial" w:eastAsia="Arial" w:hAnsi="Arial"/>
                <w:b/>
                <w:bCs/>
                <w:sz w:val="20"/>
                <w:szCs w:val="20"/>
              </w:rPr>
              <w:t xml:space="preserve">EpiPen administration</w:t>
            </w:r>
          </w:p>
        </w:tc>
        <w:tc>
          <w:tcPr>
            <w:tcW w:type="dxa" w:w="1600"/>
            <w:tcBorders>
              <w:top w:val="single" w:color="CCCCCC" w:sz="1"/>
              <w:left w:val="single" w:color="CCCCCC" w:sz="1"/>
              <w:bottom w:val="single" w:color="CCCCCC" w:sz="1"/>
              <w:right w:val="single" w:color="CCCCCC" w:sz="1"/>
            </w:tcBorders>
            <w:shd w:fill="D4F0EB" w:val="clear"/>
            <w:tcMar>
              <w:top w:type="dxa" w:w="80"/>
              <w:left w:type="dxa" w:w="120"/>
              <w:bottom w:type="dxa" w:w="80"/>
              <w:right w:type="dxa" w:w="120"/>
            </w:tcMar>
          </w:tcPr>
          <w:p>
            <w:r>
              <w:rPr>
                <w:rFonts w:ascii="Arial" w:cs="Arial" w:eastAsia="Arial" w:hAnsi="Arial"/>
                <w:color w:val="555555"/>
                <w:sz w:val="20"/>
                <w:szCs w:val="20"/>
              </w:rPr>
              <w:t xml:space="preserve">Planned v2</w:t>
            </w:r>
          </w:p>
        </w:tc>
        <w:tc>
          <w:tcPr>
            <w:tcW w:type="dxa" w:w="5360"/>
            <w:tcBorders>
              <w:top w:val="single" w:color="CCCCCC" w:sz="1"/>
              <w:left w:val="single" w:color="CCCCCC" w:sz="1"/>
              <w:bottom w:val="single" w:color="CCCCCC" w:sz="1"/>
              <w:right w:val="single" w:color="CCCCCC" w:sz="1"/>
            </w:tcBorders>
            <w:shd w:fill="D4F0EB" w:val="clear"/>
            <w:tcMar>
              <w:top w:type="dxa" w:w="80"/>
              <w:left w:type="dxa" w:w="120"/>
              <w:bottom w:type="dxa" w:w="80"/>
              <w:right w:type="dxa" w:w="120"/>
            </w:tcMar>
          </w:tcPr>
          <w:p>
            <w:r>
              <w:rPr>
                <w:rFonts w:ascii="Arial" w:cs="Arial" w:eastAsia="Arial" w:hAnsi="Arial"/>
                <w:sz w:val="20"/>
                <w:szCs w:val="20"/>
              </w:rPr>
              <w:t xml:space="preserve">Thigh site, grip, cap removal, hold duration, post-steps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Inhaler technique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Planned v3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Shake, exhale, seal, actuation timing, breath-hold, spacer</w:t>
            </w:r>
          </w:p>
        </w:tc>
      </w:tr>
    </w:tbl>
    <w:p>
      <w:pPr>
        <w:spacing w:after="60" w:before="60"/>
      </w:pPr>
      <w:r>
        <w:t xml:space="preserve"/>
      </w:r>
    </w:p>
    <w:p>
      <w:pPr>
        <w:pBdr>
          <w:bottom w:val="single" w:color="DDDDDD" w:sz="4" w:space="1"/>
        </w:pBdr>
        <w:spacing w:after="120" w:before="120"/>
      </w:pPr>
      <w:r>
        <w:t xml:space="preserve"/>
      </w:r>
    </w:p>
    <w:p>
      <w:pPr>
        <w:pStyle w:val="Heading1"/>
        <w:spacing w:after="120" w:before="360"/>
      </w:pPr>
      <w:r>
        <w:rPr>
          <w:rFonts w:ascii="Arial" w:cs="Arial" w:eastAsia="Arial" w:hAnsi="Arial"/>
          <w:b/>
          <w:bCs/>
          <w:color w:val="1A56A0"/>
          <w:sz w:val="36"/>
          <w:szCs w:val="36"/>
        </w:rPr>
        <w:t xml:space="preserve">6. Technical Architecture</w:t>
      </w:r>
    </w:p>
    <w:p>
      <w:pPr>
        <w:spacing w:after="60" w:before="60"/>
      </w:pPr>
      <w:r>
        <w:t xml:space="preserve"/>
      </w:r>
    </w:p>
    <w:p>
      <w:pPr>
        <w:spacing w:after="80" w:before="200"/>
      </w:pPr>
      <w:r>
        <w:rPr>
          <w:rFonts w:ascii="Arial" w:cs="Arial" w:eastAsia="Arial" w:hAnsi="Arial"/>
          <w:b/>
          <w:bCs/>
          <w:color w:val="0E7C6B"/>
          <w:sz w:val="24"/>
          <w:szCs w:val="24"/>
        </w:rPr>
        <w:t xml:space="preserve">Frontend</w:t>
      </w:r>
    </w:p>
    <w:p>
      <w:pPr>
        <w:pStyle w:val="ListParagraph"/>
        <w:numPr>
          <w:ilvl w:val="0"/>
          <w:numId w:val="2"/>
        </w:numPr>
        <w:spacing w:after="40" w:before="40"/>
      </w:pPr>
      <w:r>
        <w:rPr>
          <w:rFonts w:ascii="Arial" w:cs="Arial" w:eastAsia="Arial" w:hAnsi="Arial"/>
          <w:b w:val="false"/>
          <w:bCs w:val="false"/>
          <w:sz w:val="22"/>
          <w:szCs w:val="22"/>
        </w:rPr>
        <w:t xml:space="preserve">Next.js 14 — learner portal, module player, feedback screen, instructor dashboard</w:t>
      </w:r>
    </w:p>
    <w:p>
      <w:pPr>
        <w:pStyle w:val="ListParagraph"/>
        <w:numPr>
          <w:ilvl w:val="0"/>
          <w:numId w:val="2"/>
        </w:numPr>
        <w:spacing w:after="40" w:before="40"/>
      </w:pPr>
      <w:r>
        <w:rPr>
          <w:rFonts w:ascii="Arial" w:cs="Arial" w:eastAsia="Arial" w:hAnsi="Arial"/>
          <w:b w:val="false"/>
          <w:bCs w:val="false"/>
          <w:sz w:val="22"/>
          <w:szCs w:val="22"/>
        </w:rPr>
        <w:t xml:space="preserve">Deployed on Vercel — zero-config CI/CD from GitHub</w:t>
      </w:r>
    </w:p>
    <w:p>
      <w:pPr>
        <w:spacing w:after="60" w:before="60"/>
      </w:pPr>
      <w:r>
        <w:t xml:space="preserve"/>
      </w:r>
    </w:p>
    <w:p>
      <w:pPr>
        <w:spacing w:after="80" w:before="200"/>
      </w:pPr>
      <w:r>
        <w:rPr>
          <w:rFonts w:ascii="Arial" w:cs="Arial" w:eastAsia="Arial" w:hAnsi="Arial"/>
          <w:b/>
          <w:bCs/>
          <w:color w:val="0E7C6B"/>
          <w:sz w:val="24"/>
          <w:szCs w:val="24"/>
        </w:rPr>
        <w:t xml:space="preserve">Backend (Butterbase-provisioned)</w:t>
      </w:r>
    </w:p>
    <w:p>
      <w:pPr>
        <w:pStyle w:val="ListParagraph"/>
        <w:numPr>
          <w:ilvl w:val="0"/>
          <w:numId w:val="2"/>
        </w:numPr>
        <w:spacing w:after="40" w:before="40"/>
      </w:pPr>
      <w:r>
        <w:rPr>
          <w:rFonts w:ascii="Arial" w:cs="Arial" w:eastAsia="Arial" w:hAnsi="Arial"/>
          <w:b w:val="false"/>
          <w:bCs w:val="false"/>
          <w:sz w:val="22"/>
          <w:szCs w:val="22"/>
        </w:rPr>
        <w:t xml:space="preserve">PostgreSQL database — users, modules, attempts, scores, timestamps</w:t>
      </w:r>
    </w:p>
    <w:p>
      <w:pPr>
        <w:pStyle w:val="ListParagraph"/>
        <w:numPr>
          <w:ilvl w:val="0"/>
          <w:numId w:val="2"/>
        </w:numPr>
        <w:spacing w:after="40" w:before="40"/>
      </w:pPr>
      <w:r>
        <w:rPr>
          <w:rFonts w:ascii="Arial" w:cs="Arial" w:eastAsia="Arial" w:hAnsi="Arial"/>
          <w:b w:val="false"/>
          <w:bCs w:val="false"/>
          <w:sz w:val="22"/>
          <w:szCs w:val="22"/>
        </w:rPr>
        <w:t xml:space="preserve">Auth — email + OAuth via Butterbase-generated auth layer</w:t>
      </w:r>
    </w:p>
    <w:p>
      <w:pPr>
        <w:pStyle w:val="ListParagraph"/>
        <w:numPr>
          <w:ilvl w:val="0"/>
          <w:numId w:val="2"/>
        </w:numPr>
        <w:spacing w:after="40" w:before="40"/>
      </w:pPr>
      <w:r>
        <w:rPr>
          <w:rFonts w:ascii="Arial" w:cs="Arial" w:eastAsia="Arial" w:hAnsi="Arial"/>
          <w:b w:val="false"/>
          <w:bCs w:val="false"/>
          <w:sz w:val="22"/>
          <w:szCs w:val="22"/>
        </w:rPr>
        <w:t xml:space="preserve">Video storage — S3-compatible object store provisioned by Butterbase</w:t>
      </w:r>
    </w:p>
    <w:p>
      <w:pPr>
        <w:pStyle w:val="ListParagraph"/>
        <w:numPr>
          <w:ilvl w:val="0"/>
          <w:numId w:val="2"/>
        </w:numPr>
        <w:spacing w:after="40" w:before="40"/>
      </w:pPr>
      <w:r>
        <w:rPr>
          <w:rFonts w:ascii="Arial" w:cs="Arial" w:eastAsia="Arial" w:hAnsi="Arial"/>
          <w:b w:val="false"/>
          <w:bCs w:val="false"/>
          <w:sz w:val="22"/>
          <w:szCs w:val="22"/>
        </w:rPr>
        <w:t xml:space="preserve">REST API endpoints — module progress, submission status, instructor reports</w:t>
      </w:r>
    </w:p>
    <w:p>
      <w:pPr>
        <w:spacing w:after="60" w:before="60"/>
      </w:pPr>
      <w:r>
        <w:t xml:space="preserve"/>
      </w:r>
    </w:p>
    <w:p>
      <w:pPr>
        <w:spacing w:after="80" w:before="200"/>
      </w:pPr>
      <w:r>
        <w:rPr>
          <w:rFonts w:ascii="Arial" w:cs="Arial" w:eastAsia="Arial" w:hAnsi="Arial"/>
          <w:b/>
          <w:bCs/>
          <w:color w:val="0E7C6B"/>
          <w:sz w:val="24"/>
          <w:szCs w:val="24"/>
        </w:rPr>
        <w:t xml:space="preserve">AI Verification Pipeline</w:t>
      </w:r>
    </w:p>
    <w:p>
      <w:pPr>
        <w:pStyle w:val="ListParagraph"/>
        <w:numPr>
          <w:ilvl w:val="0"/>
          <w:numId w:val="2"/>
        </w:numPr>
        <w:spacing w:after="40" w:before="40"/>
      </w:pPr>
      <w:r>
        <w:rPr>
          <w:rFonts w:ascii="Arial" w:cs="Arial" w:eastAsia="Arial" w:hAnsi="Arial"/>
          <w:b w:val="false"/>
          <w:bCs w:val="false"/>
          <w:sz w:val="22"/>
          <w:szCs w:val="22"/>
        </w:rPr>
        <w:t xml:space="preserve">Upload triggers async verification job via Butterbase webhook</w:t>
      </w:r>
    </w:p>
    <w:p>
      <w:pPr>
        <w:pStyle w:val="ListParagraph"/>
        <w:numPr>
          <w:ilvl w:val="0"/>
          <w:numId w:val="2"/>
        </w:numPr>
        <w:spacing w:after="40" w:before="40"/>
      </w:pPr>
      <w:r>
        <w:rPr>
          <w:rFonts w:ascii="Arial" w:cs="Arial" w:eastAsia="Arial" w:hAnsi="Arial"/>
          <w:b w:val="false"/>
          <w:bCs w:val="false"/>
          <w:sz w:val="22"/>
          <w:szCs w:val="22"/>
        </w:rPr>
        <w:t xml:space="preserve">Job calls Claude Vision endpoint hosted on Cumulus Labs serverless GPU</w:t>
      </w:r>
    </w:p>
    <w:p>
      <w:pPr>
        <w:pStyle w:val="ListParagraph"/>
        <w:numPr>
          <w:ilvl w:val="0"/>
          <w:numId w:val="2"/>
        </w:numPr>
        <w:spacing w:after="40" w:before="40"/>
      </w:pPr>
      <w:r>
        <w:rPr>
          <w:rFonts w:ascii="Arial" w:cs="Arial" w:eastAsia="Arial" w:hAnsi="Arial"/>
          <w:b w:val="false"/>
          <w:bCs w:val="false"/>
          <w:sz w:val="22"/>
          <w:szCs w:val="22"/>
        </w:rPr>
        <w:t xml:space="preserve">Prompt encodes the rubric criteria for the specific module</w:t>
      </w:r>
    </w:p>
    <w:p>
      <w:pPr>
        <w:pStyle w:val="ListParagraph"/>
        <w:numPr>
          <w:ilvl w:val="0"/>
          <w:numId w:val="2"/>
        </w:numPr>
        <w:spacing w:after="40" w:before="40"/>
      </w:pPr>
      <w:r>
        <w:rPr>
          <w:rFonts w:ascii="Arial" w:cs="Arial" w:eastAsia="Arial" w:hAnsi="Arial"/>
          <w:b w:val="false"/>
          <w:bCs w:val="false"/>
          <w:sz w:val="22"/>
          <w:szCs w:val="22"/>
        </w:rPr>
        <w:t xml:space="preserve">Response returns per-criterion scores plus failure timestamp ranges</w:t>
      </w:r>
    </w:p>
    <w:p>
      <w:pPr>
        <w:pStyle w:val="ListParagraph"/>
        <w:numPr>
          <w:ilvl w:val="0"/>
          <w:numId w:val="2"/>
        </w:numPr>
        <w:spacing w:after="40" w:before="40"/>
      </w:pPr>
      <w:r>
        <w:rPr>
          <w:rFonts w:ascii="Arial" w:cs="Arial" w:eastAsia="Arial" w:hAnsi="Arial"/>
          <w:b w:val="false"/>
          <w:bCs w:val="false"/>
          <w:sz w:val="22"/>
          <w:szCs w:val="22"/>
        </w:rPr>
        <w:t xml:space="preserve">Results written back to database and surfaced in learner feedback UI</w:t>
      </w:r>
    </w:p>
    <w:p>
      <w:pPr>
        <w:spacing w:after="60" w:before="60"/>
      </w:pPr>
      <w:r>
        <w:t xml:space="preserve"/>
      </w:r>
    </w:p>
    <w:p>
      <w:pPr>
        <w:spacing w:after="80" w:before="200"/>
      </w:pPr>
      <w:r>
        <w:rPr>
          <w:rFonts w:ascii="Arial" w:cs="Arial" w:eastAsia="Arial" w:hAnsi="Arial"/>
          <w:b/>
          <w:bCs/>
          <w:color w:val="0E7C6B"/>
          <w:sz w:val="24"/>
          <w:szCs w:val="24"/>
        </w:rPr>
        <w:t xml:space="preserve">Reference Video Generation</w:t>
      </w:r>
    </w:p>
    <w:p>
      <w:pPr>
        <w:pStyle w:val="ListParagraph"/>
        <w:numPr>
          <w:ilvl w:val="0"/>
          <w:numId w:val="2"/>
        </w:numPr>
        <w:spacing w:after="40" w:before="40"/>
      </w:pPr>
      <w:r>
        <w:rPr>
          <w:rFonts w:ascii="Arial" w:cs="Arial" w:eastAsia="Arial" w:hAnsi="Arial"/>
          <w:b w:val="false"/>
          <w:bCs w:val="false"/>
          <w:sz w:val="22"/>
          <w:szCs w:val="22"/>
        </w:rPr>
        <w:t xml:space="preserve">Each module’s reference video is composed from Luma Photon-generated scene images</w:t>
      </w:r>
    </w:p>
    <w:p>
      <w:pPr>
        <w:pStyle w:val="ListParagraph"/>
        <w:numPr>
          <w:ilvl w:val="0"/>
          <w:numId w:val="2"/>
        </w:numPr>
        <w:spacing w:after="40" w:before="40"/>
      </w:pPr>
      <w:r>
        <w:rPr>
          <w:rFonts w:ascii="Arial" w:cs="Arial" w:eastAsia="Arial" w:hAnsi="Arial"/>
          <w:b w:val="false"/>
          <w:bCs w:val="false"/>
          <w:sz w:val="22"/>
          <w:szCs w:val="22"/>
        </w:rPr>
        <w:t xml:space="preserve">Scenes annotated with callout overlays and narration using a TTS pipeline</w:t>
      </w:r>
    </w:p>
    <w:p>
      <w:pPr>
        <w:pStyle w:val="ListParagraph"/>
        <w:numPr>
          <w:ilvl w:val="0"/>
          <w:numId w:val="2"/>
        </w:numPr>
        <w:spacing w:after="40" w:before="40"/>
      </w:pPr>
      <w:r>
        <w:rPr>
          <w:rFonts w:ascii="Arial" w:cs="Arial" w:eastAsia="Arial" w:hAnsi="Arial"/>
          <w:b w:val="false"/>
          <w:bCs w:val="false"/>
          <w:sz w:val="22"/>
          <w:szCs w:val="22"/>
        </w:rPr>
        <w:t xml:space="preserve">Videos hosted on CDN for fast learner playback</w:t>
      </w:r>
    </w:p>
    <w:p>
      <w:pPr>
        <w:spacing w:after="60" w:before="60"/>
      </w:pPr>
      <w:r>
        <w:t xml:space="preserve"/>
      </w:r>
    </w:p>
    <w:p>
      <w:pPr>
        <w:pBdr>
          <w:bottom w:val="single" w:color="DDDDDD" w:sz="4" w:space="1"/>
        </w:pBdr>
        <w:spacing w:after="120" w:before="120"/>
      </w:pPr>
      <w:r>
        <w:t xml:space="preserve"/>
      </w:r>
    </w:p>
    <w:p>
      <w:pPr>
        <w:pStyle w:val="Heading1"/>
        <w:spacing w:after="120" w:before="360"/>
      </w:pPr>
      <w:r>
        <w:rPr>
          <w:rFonts w:ascii="Arial" w:cs="Arial" w:eastAsia="Arial" w:hAnsi="Arial"/>
          <w:b/>
          <w:bCs/>
          <w:color w:val="1A56A0"/>
          <w:sz w:val="36"/>
          <w:szCs w:val="36"/>
        </w:rPr>
        <w:t xml:space="preserve">7. Hackathon Build Timeline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0E7C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0E7C6B"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760"/>
            <w:tcBorders>
              <w:top w:val="single" w:color="CCCCCC" w:sz="1"/>
              <w:left w:val="single" w:color="CCCCCC" w:sz="1"/>
              <w:bottom w:val="single" w:color="CCCCCC" w:sz="1"/>
              <w:right w:val="single" w:color="CCCCCC" w:sz="1"/>
            </w:tcBorders>
            <w:shd w:fill="0E7C6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shd w:fill="D4F0EB" w:val="clear"/>
            <w:tcMar>
              <w:top w:type="dxa" w:w="80"/>
              <w:left w:type="dxa" w:w="120"/>
              <w:bottom w:type="dxa" w:w="80"/>
              <w:right w:type="dxa" w:w="120"/>
            </w:tcMar>
          </w:tcPr>
          <w:p>
            <w:r>
              <w:rPr>
                <w:rFonts w:ascii="Arial" w:cs="Arial" w:eastAsia="Arial" w:hAnsi="Arial"/>
                <w:sz w:val="20"/>
                <w:szCs w:val="20"/>
              </w:rPr>
              <w:t xml:space="preserve">Hours 0–4</w:t>
            </w:r>
          </w:p>
        </w:tc>
        <w:tc>
          <w:tcPr>
            <w:tcW w:type="dxa" w:w="2200"/>
            <w:tcBorders>
              <w:top w:val="single" w:color="CCCCCC" w:sz="1"/>
              <w:left w:val="single" w:color="CCCCCC" w:sz="1"/>
              <w:bottom w:val="single" w:color="CCCCCC" w:sz="1"/>
              <w:right w:val="single" w:color="CCCCCC" w:sz="1"/>
            </w:tcBorders>
            <w:shd w:fill="D4F0EB" w:val="clear"/>
            <w:tcMar>
              <w:top w:type="dxa" w:w="80"/>
              <w:left w:type="dxa" w:w="120"/>
              <w:bottom w:type="dxa" w:w="80"/>
              <w:right w:type="dxa" w:w="120"/>
            </w:tcMar>
          </w:tcPr>
          <w:p>
            <w:r>
              <w:rPr>
                <w:rFonts w:ascii="Arial" w:cs="Arial" w:eastAsia="Arial" w:hAnsi="Arial"/>
                <w:sz w:val="20"/>
                <w:szCs w:val="20"/>
              </w:rPr>
              <w:t xml:space="preserve">Setup &amp; reference content</w:t>
            </w:r>
          </w:p>
        </w:tc>
        <w:tc>
          <w:tcPr>
            <w:tcW w:type="dxa" w:w="5760"/>
            <w:tcBorders>
              <w:top w:val="single" w:color="CCCCCC" w:sz="1"/>
              <w:left w:val="single" w:color="CCCCCC" w:sz="1"/>
              <w:bottom w:val="single" w:color="CCCCCC" w:sz="1"/>
              <w:right w:val="single" w:color="CCCCCC" w:sz="1"/>
            </w:tcBorders>
            <w:shd w:fill="D4F0EB" w:val="clear"/>
            <w:tcMar>
              <w:top w:type="dxa" w:w="80"/>
              <w:left w:type="dxa" w:w="120"/>
              <w:bottom w:type="dxa" w:w="80"/>
              <w:right w:type="dxa" w:w="120"/>
            </w:tcMar>
          </w:tcPr>
          <w:p>
            <w:r>
              <w:rPr>
                <w:rFonts w:ascii="Arial" w:cs="Arial" w:eastAsia="Arial" w:hAnsi="Arial"/>
                <w:sz w:val="20"/>
                <w:szCs w:val="20"/>
              </w:rPr>
              <w:t xml:space="preserve">Next.js scaffold, Butterbase backend provisioned, reference video upload flow, module structure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Hours 4–8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&amp; verification pipeline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Learner video upload UI, Claude Vision rubric scoring via Cumulus GPU endpoint, timestamped feedback generation</w:t>
            </w:r>
          </w:p>
        </w:tc>
      </w:tr>
      <w:tr>
        <w:tc>
          <w:tcPr>
            <w:tcW w:type="dxa" w:w="1400"/>
            <w:tcBorders>
              <w:top w:val="single" w:color="CCCCCC" w:sz="1"/>
              <w:left w:val="single" w:color="CCCCCC" w:sz="1"/>
              <w:bottom w:val="single" w:color="CCCCCC" w:sz="1"/>
              <w:right w:val="single" w:color="CCCCCC" w:sz="1"/>
            </w:tcBorders>
            <w:shd w:fill="D4F0EB" w:val="clear"/>
            <w:tcMar>
              <w:top w:type="dxa" w:w="80"/>
              <w:left w:type="dxa" w:w="120"/>
              <w:bottom w:type="dxa" w:w="80"/>
              <w:right w:type="dxa" w:w="120"/>
            </w:tcMar>
          </w:tcPr>
          <w:p>
            <w:r>
              <w:rPr>
                <w:rFonts w:ascii="Arial" w:cs="Arial" w:eastAsia="Arial" w:hAnsi="Arial"/>
                <w:sz w:val="20"/>
                <w:szCs w:val="20"/>
              </w:rPr>
              <w:t xml:space="preserve">Hours 8–14</w:t>
            </w:r>
          </w:p>
        </w:tc>
        <w:tc>
          <w:tcPr>
            <w:tcW w:type="dxa" w:w="2200"/>
            <w:tcBorders>
              <w:top w:val="single" w:color="CCCCCC" w:sz="1"/>
              <w:left w:val="single" w:color="CCCCCC" w:sz="1"/>
              <w:bottom w:val="single" w:color="CCCCCC" w:sz="1"/>
              <w:right w:val="single" w:color="CCCCCC" w:sz="1"/>
            </w:tcBorders>
            <w:shd w:fill="D4F0EB" w:val="clear"/>
            <w:tcMar>
              <w:top w:type="dxa" w:w="80"/>
              <w:left w:type="dxa" w:w="120"/>
              <w:bottom w:type="dxa" w:w="80"/>
              <w:right w:type="dxa" w:w="120"/>
            </w:tcMar>
          </w:tcPr>
          <w:p>
            <w:r>
              <w:rPr>
                <w:rFonts w:ascii="Arial" w:cs="Arial" w:eastAsia="Arial" w:hAnsi="Arial"/>
                <w:sz w:val="20"/>
                <w:szCs w:val="20"/>
              </w:rPr>
              <w:t xml:space="preserve">Feedback UX + modules</w:t>
            </w:r>
          </w:p>
        </w:tc>
        <w:tc>
          <w:tcPr>
            <w:tcW w:type="dxa" w:w="5760"/>
            <w:tcBorders>
              <w:top w:val="single" w:color="CCCCCC" w:sz="1"/>
              <w:left w:val="single" w:color="CCCCCC" w:sz="1"/>
              <w:bottom w:val="single" w:color="CCCCCC" w:sz="1"/>
              <w:right w:val="single" w:color="CCCCCC" w:sz="1"/>
            </w:tcBorders>
            <w:shd w:fill="D4F0EB" w:val="clear"/>
            <w:tcMar>
              <w:top w:type="dxa" w:w="80"/>
              <w:left w:type="dxa" w:w="120"/>
              <w:bottom w:type="dxa" w:w="80"/>
              <w:right w:type="dxa" w:w="120"/>
            </w:tcMar>
          </w:tcPr>
          <w:p>
            <w:r>
              <w:rPr>
                <w:rFonts w:ascii="Arial" w:cs="Arial" w:eastAsia="Arial" w:hAnsi="Arial"/>
                <w:sz w:val="20"/>
                <w:szCs w:val="20"/>
              </w:rPr>
              <w:t xml:space="preserve">Pass/fail screen, timestamp pills, retry loop, add AED and Heimlich modules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Hours 14–20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dashboard + polish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Instructor view, learner progress tracking, demo data, edge case handling</w:t>
            </w:r>
          </w:p>
        </w:tc>
      </w:tr>
      <w:tr>
        <w:tc>
          <w:tcPr>
            <w:tcW w:type="dxa" w:w="1400"/>
            <w:tcBorders>
              <w:top w:val="single" w:color="CCCCCC" w:sz="1"/>
              <w:left w:val="single" w:color="CCCCCC" w:sz="1"/>
              <w:bottom w:val="single" w:color="CCCCCC" w:sz="1"/>
              <w:right w:val="single" w:color="CCCCCC" w:sz="1"/>
            </w:tcBorders>
            <w:shd w:fill="D4F0EB" w:val="clear"/>
            <w:tcMar>
              <w:top w:type="dxa" w:w="80"/>
              <w:left w:type="dxa" w:w="120"/>
              <w:bottom w:type="dxa" w:w="80"/>
              <w:right w:type="dxa" w:w="120"/>
            </w:tcMar>
          </w:tcPr>
          <w:p>
            <w:r>
              <w:rPr>
                <w:rFonts w:ascii="Arial" w:cs="Arial" w:eastAsia="Arial" w:hAnsi="Arial"/>
                <w:sz w:val="20"/>
                <w:szCs w:val="20"/>
              </w:rPr>
              <w:t xml:space="preserve">Hours 20–24</w:t>
            </w:r>
          </w:p>
        </w:tc>
        <w:tc>
          <w:tcPr>
            <w:tcW w:type="dxa" w:w="2200"/>
            <w:tcBorders>
              <w:top w:val="single" w:color="CCCCCC" w:sz="1"/>
              <w:left w:val="single" w:color="CCCCCC" w:sz="1"/>
              <w:bottom w:val="single" w:color="CCCCCC" w:sz="1"/>
              <w:right w:val="single" w:color="CCCCCC" w:sz="1"/>
            </w:tcBorders>
            <w:shd w:fill="D4F0EB" w:val="clear"/>
            <w:tcMar>
              <w:top w:type="dxa" w:w="80"/>
              <w:left w:type="dxa" w:w="120"/>
              <w:bottom w:type="dxa" w:w="80"/>
              <w:right w:type="dxa" w:w="120"/>
            </w:tcMar>
          </w:tcPr>
          <w:p>
            <w:r>
              <w:rPr>
                <w:rFonts w:ascii="Arial" w:cs="Arial" w:eastAsia="Arial" w:hAnsi="Arial"/>
                <w:sz w:val="20"/>
                <w:szCs w:val="20"/>
              </w:rPr>
              <w:t xml:space="preserve">Demo prep</w:t>
            </w:r>
          </w:p>
        </w:tc>
        <w:tc>
          <w:tcPr>
            <w:tcW w:type="dxa" w:w="5760"/>
            <w:tcBorders>
              <w:top w:val="single" w:color="CCCCCC" w:sz="1"/>
              <w:left w:val="single" w:color="CCCCCC" w:sz="1"/>
              <w:bottom w:val="single" w:color="CCCCCC" w:sz="1"/>
              <w:right w:val="single" w:color="CCCCCC" w:sz="1"/>
            </w:tcBorders>
            <w:shd w:fill="D4F0EB" w:val="clear"/>
            <w:tcMar>
              <w:top w:type="dxa" w:w="80"/>
              <w:left w:type="dxa" w:w="120"/>
              <w:bottom w:type="dxa" w:w="80"/>
              <w:right w:type="dxa" w:w="120"/>
            </w:tcMar>
          </w:tcPr>
          <w:p>
            <w:r>
              <w:rPr>
                <w:rFonts w:ascii="Arial" w:cs="Arial" w:eastAsia="Arial" w:hAnsi="Arial"/>
                <w:sz w:val="20"/>
                <w:szCs w:val="20"/>
              </w:rPr>
              <w:t xml:space="preserve">Recorded walkthrough, pitch narrative, slide deck, cleanup</w:t>
            </w:r>
          </w:p>
        </w:tc>
      </w:tr>
    </w:tbl>
    <w:p>
      <w:pPr>
        <w:spacing w:after="60" w:before="60"/>
      </w:pPr>
      <w:r>
        <w:t xml:space="preserve"/>
      </w:r>
    </w:p>
    <w:p>
      <w:pPr>
        <w:pBdr>
          <w:bottom w:val="single" w:color="DDDDDD" w:sz="4" w:space="1"/>
        </w:pBdr>
        <w:spacing w:after="120" w:before="120"/>
      </w:pPr>
      <w:r>
        <w:t xml:space="preserve"/>
      </w:r>
    </w:p>
    <w:p>
      <w:pPr>
        <w:pStyle w:val="Heading1"/>
        <w:spacing w:after="120" w:before="360"/>
      </w:pPr>
      <w:r>
        <w:rPr>
          <w:rFonts w:ascii="Arial" w:cs="Arial" w:eastAsia="Arial" w:hAnsi="Arial"/>
          <w:b/>
          <w:bCs/>
          <w:color w:val="1A56A0"/>
          <w:sz w:val="36"/>
          <w:szCs w:val="36"/>
        </w:rPr>
        <w:t xml:space="preserve">8. Market Opportunity</w:t>
      </w:r>
    </w:p>
    <w:p>
      <w:pPr>
        <w:spacing w:after="80" w:before="60"/>
      </w:pPr>
      <w:r>
        <w:rPr>
          <w:rFonts w:ascii="Arial" w:cs="Arial" w:eastAsia="Arial" w:hAnsi="Arial"/>
          <w:sz w:val="22"/>
          <w:szCs w:val="22"/>
        </w:rPr>
        <w:t xml:space="preserve">The compliance training market is estimated at over $8B annually in the US alone. The shift from passive video-based certification to verified competency assessment is inevitable as healthcare regulators increase scrutiny of skills-based compliance.</w:t>
      </w:r>
    </w:p>
    <w:p>
      <w:pPr>
        <w:spacing w:after="60" w:before="60"/>
      </w:pPr>
      <w:r>
        <w:t xml:space="preserve"/>
      </w:r>
    </w:p>
    <w:p>
      <w:pPr>
        <w:spacing w:after="80" w:before="60"/>
      </w:pPr>
      <w:r>
        <w:rPr>
          <w:rFonts w:ascii="Arial" w:cs="Arial" w:eastAsia="Arial" w:hAnsi="Arial"/>
          <w:b/>
          <w:bCs/>
          <w:sz w:val="22"/>
          <w:szCs w:val="22"/>
        </w:rPr>
        <w:t xml:space="preserve">Target customers:</w:t>
      </w:r>
    </w:p>
    <w:p>
      <w:pPr>
        <w:pStyle w:val="ListParagraph"/>
        <w:numPr>
          <w:ilvl w:val="0"/>
          <w:numId w:val="2"/>
        </w:numPr>
        <w:spacing w:after="40" w:before="40"/>
      </w:pPr>
      <w:r>
        <w:rPr>
          <w:rFonts w:ascii="Arial" w:cs="Arial" w:eastAsia="Arial" w:hAnsi="Arial"/>
          <w:b w:val="false"/>
          <w:bCs w:val="false"/>
          <w:sz w:val="22"/>
          <w:szCs w:val="22"/>
        </w:rPr>
        <w:t xml:space="preserve">Hospital systems and healthcare networks — mandatory annual recertification at scale</w:t>
      </w:r>
    </w:p>
    <w:p>
      <w:pPr>
        <w:pStyle w:val="ListParagraph"/>
        <w:numPr>
          <w:ilvl w:val="0"/>
          <w:numId w:val="2"/>
        </w:numPr>
        <w:spacing w:after="40" w:before="40"/>
      </w:pPr>
      <w:r>
        <w:rPr>
          <w:rFonts w:ascii="Arial" w:cs="Arial" w:eastAsia="Arial" w:hAnsi="Arial"/>
          <w:b w:val="false"/>
          <w:bCs w:val="false"/>
          <w:sz w:val="22"/>
          <w:szCs w:val="22"/>
        </w:rPr>
        <w:t xml:space="preserve">Care home and assisted living operators — high staff turnover, continuous certification need</w:t>
      </w:r>
    </w:p>
    <w:p>
      <w:pPr>
        <w:pStyle w:val="ListParagraph"/>
        <w:numPr>
          <w:ilvl w:val="0"/>
          <w:numId w:val="2"/>
        </w:numPr>
        <w:spacing w:after="40" w:before="40"/>
      </w:pPr>
      <w:r>
        <w:rPr>
          <w:rFonts w:ascii="Arial" w:cs="Arial" w:eastAsia="Arial" w:hAnsi="Arial"/>
          <w:b w:val="false"/>
          <w:bCs w:val="false"/>
          <w:sz w:val="22"/>
          <w:szCs w:val="22"/>
        </w:rPr>
        <w:t xml:space="preserve">Corporate first-aid programs — AED and CPR certification for offices and large venues</w:t>
      </w:r>
    </w:p>
    <w:p>
      <w:pPr>
        <w:pStyle w:val="ListParagraph"/>
        <w:numPr>
          <w:ilvl w:val="0"/>
          <w:numId w:val="2"/>
        </w:numPr>
        <w:spacing w:after="40" w:before="40"/>
      </w:pPr>
      <w:r>
        <w:rPr>
          <w:rFonts w:ascii="Arial" w:cs="Arial" w:eastAsia="Arial" w:hAnsi="Arial"/>
          <w:b w:val="false"/>
          <w:bCs w:val="false"/>
          <w:sz w:val="22"/>
          <w:szCs w:val="22"/>
        </w:rPr>
        <w:t xml:space="preserve">Medical and nursing education providers — practical skills assessment at exam time</w:t>
      </w:r>
    </w:p>
    <w:p>
      <w:pPr>
        <w:spacing w:after="60" w:before="60"/>
      </w:pPr>
      <w:r>
        <w:t xml:space="preserve"/>
      </w:r>
    </w:p>
    <w:p>
      <w:pPr>
        <w:spacing w:after="80" w:before="60"/>
      </w:pPr>
      <w:r>
        <w:rPr>
          <w:rFonts w:ascii="Arial" w:cs="Arial" w:eastAsia="Arial" w:hAnsi="Arial"/>
          <w:b/>
          <w:bCs/>
          <w:sz w:val="22"/>
          <w:szCs w:val="22"/>
        </w:rPr>
        <w:t xml:space="preserve">Revenue model:</w:t>
      </w:r>
    </w:p>
    <w:p>
      <w:pPr>
        <w:pStyle w:val="ListParagraph"/>
        <w:numPr>
          <w:ilvl w:val="0"/>
          <w:numId w:val="2"/>
        </w:numPr>
        <w:spacing w:after="40" w:before="40"/>
      </w:pPr>
      <w:r>
        <w:rPr>
          <w:rFonts w:ascii="Arial" w:cs="Arial" w:eastAsia="Arial" w:hAnsi="Arial"/>
          <w:b w:val="false"/>
          <w:bCs w:val="false"/>
          <w:sz w:val="22"/>
          <w:szCs w:val="22"/>
        </w:rPr>
        <w:t xml:space="preserve">Per-seat annual SaaS licence to organizations</w:t>
      </w:r>
    </w:p>
    <w:p>
      <w:pPr>
        <w:pStyle w:val="ListParagraph"/>
        <w:numPr>
          <w:ilvl w:val="0"/>
          <w:numId w:val="2"/>
        </w:numPr>
        <w:spacing w:after="40" w:before="40"/>
      </w:pPr>
      <w:r>
        <w:rPr>
          <w:rFonts w:ascii="Arial" w:cs="Arial" w:eastAsia="Arial" w:hAnsi="Arial"/>
          <w:b w:val="false"/>
          <w:bCs w:val="false"/>
          <w:sz w:val="22"/>
          <w:szCs w:val="22"/>
        </w:rPr>
        <w:t xml:space="preserve">Per-module content licensing for new clinical skills</w:t>
      </w:r>
    </w:p>
    <w:p>
      <w:pPr>
        <w:pStyle w:val="ListParagraph"/>
        <w:numPr>
          <w:ilvl w:val="0"/>
          <w:numId w:val="2"/>
        </w:numPr>
        <w:spacing w:after="40" w:before="40"/>
      </w:pPr>
      <w:r>
        <w:rPr>
          <w:rFonts w:ascii="Arial" w:cs="Arial" w:eastAsia="Arial" w:hAnsi="Arial"/>
          <w:b w:val="false"/>
          <w:bCs w:val="false"/>
          <w:sz w:val="22"/>
          <w:szCs w:val="22"/>
        </w:rPr>
        <w:t xml:space="preserve">Enterprise tier with custom rubric development and LMS integration</w:t>
      </w:r>
    </w:p>
    <w:p>
      <w:pPr>
        <w:spacing w:after="60" w:before="60"/>
      </w:pPr>
      <w:r>
        <w:t xml:space="preserve"/>
      </w:r>
    </w:p>
    <w:p>
      <w:pPr>
        <w:pBdr>
          <w:bottom w:val="single" w:color="DDDDDD" w:sz="4" w:space="1"/>
        </w:pBdr>
        <w:spacing w:after="120" w:before="120"/>
      </w:pPr>
      <w:r>
        <w:t xml:space="preserve"/>
      </w:r>
    </w:p>
    <w:p>
      <w:pPr>
        <w:pStyle w:val="Heading1"/>
        <w:spacing w:after="120" w:before="360"/>
      </w:pPr>
      <w:r>
        <w:rPr>
          <w:rFonts w:ascii="Arial" w:cs="Arial" w:eastAsia="Arial" w:hAnsi="Arial"/>
          <w:b/>
          <w:bCs/>
          <w:color w:val="1A56A0"/>
          <w:sz w:val="36"/>
          <w:szCs w:val="36"/>
        </w:rPr>
        <w:t xml:space="preserve">9. The Demo Moment</w:t>
      </w:r>
    </w:p>
    <w:p>
      <w:pPr>
        <w:spacing w:after="80" w:before="60"/>
      </w:pPr>
      <w:r>
        <w:rPr>
          <w:rFonts w:ascii="Arial" w:cs="Arial" w:eastAsia="Arial" w:hAnsi="Arial"/>
          <w:sz w:val="22"/>
          <w:szCs w:val="22"/>
        </w:rPr>
        <w:t xml:space="preserve">The pitch is simple: we show a nurse attempting CPR on a manikin, upload the video live, and 20 seconds later the screen shows exactly which seconds their compression rate dropped and which criterion they failed — with a suggestion to watch the reference video at the 0:14 mark.</w:t>
      </w:r>
    </w:p>
    <w:p>
      <w:pPr>
        <w:spacing w:after="60" w:before="60"/>
      </w:pPr>
      <w:r>
        <w:t xml:space="preserve"/>
      </w:r>
    </w:p>
    <w:p>
      <w:pPr>
        <w:spacing w:after="80" w:before="60"/>
      </w:pPr>
      <w:r>
        <w:rPr>
          <w:rFonts w:ascii="Arial" w:cs="Arial" w:eastAsia="Arial" w:hAnsi="Arial"/>
          <w:sz w:val="22"/>
          <w:szCs w:val="22"/>
        </w:rPr>
        <w:t xml:space="preserve">That’s a better feedback loop than most nurses get in an entire recertification session.</w:t>
      </w:r>
    </w:p>
    <w:p>
      <w:pPr>
        <w:spacing w:after="60" w:before="60"/>
      </w:pPr>
      <w:r>
        <w:t xml:space="preserve"/>
      </w:r>
    </w:p>
    <w:p>
      <w:pPr>
        <w:pBdr>
          <w:bottom w:val="single" w:color="DDDDDD" w:sz="4" w:space="1"/>
        </w:pBdr>
        <w:spacing w:after="120" w:before="120"/>
      </w:pPr>
      <w:r>
        <w:t xml:space="preserve"/>
      </w:r>
    </w:p>
    <w:p>
      <w:pPr>
        <w:spacing w:before="400"/>
        <w:jc w:val="center"/>
      </w:pPr>
      <w:r>
        <w:rPr>
          <w:rFonts w:ascii="Arial" w:cs="Arial" w:eastAsia="Arial" w:hAnsi="Arial"/>
          <w:i/>
          <w:iCs/>
          <w:color w:val="888888"/>
          <w:sz w:val="18"/>
          <w:szCs w:val="18"/>
        </w:rPr>
        <w:t xml:space="preserve">Built with Luma Photon · Butterbase · Cumulus Labs · Claude Vision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SkillCert AI  |  Hackathon 2025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A0"/>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56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2026-04-18T18:35:56.136Z</dcterms:created>
  <dcterms:modified xsi:type="dcterms:W3CDTF">2026-04-18T18:35:56.136Z</dcterms:modified>
</cp:coreProperties>
</file>

<file path=docProps/custom.xml><?xml version="1.0" encoding="utf-8"?>
<Properties xmlns="http://schemas.openxmlformats.org/officeDocument/2006/custom-properties" xmlns:vt="http://schemas.openxmlformats.org/officeDocument/2006/docPropsVTypes"/>
</file>