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782" w:type="dxa"/>
        <w:jc w:val="center"/>
        <w:tblInd w:w="-176"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261"/>
        <w:gridCol w:w="2410"/>
        <w:gridCol w:w="4111"/>
      </w:tblGrid>
      <w:tr w:rsidR="0020306E" w14:paraId="5C0AE003" w14:textId="77777777">
        <w:tc>
          <w:tcPr>
            <w:tcW w:w="3261" w:type="dxa"/>
          </w:tcPr>
          <w:p w14:paraId="2BDF2FBD" w14:textId="77777777" w:rsidR="0020306E" w:rsidRDefault="00000000">
            <w:pPr>
              <w:spacing w:before="40" w:after="40"/>
              <w:ind w:left="0" w:firstLine="0"/>
              <w:jc w:val="left"/>
              <w:rPr>
                <w:rFonts w:eastAsiaTheme="minorHAnsi" w:cstheme="minorHAnsi"/>
                <w:b/>
                <w:lang w:val="en-IN"/>
              </w:rPr>
            </w:pPr>
            <w:r>
              <w:rPr>
                <w:rFonts w:eastAsiaTheme="minorHAnsi" w:cstheme="minorHAnsi" w:ascii="Calibri" w:hAnsi="Calibri"/>
                <w:b/>
                <w:sz w:val="20"/>
                <w:lang w:val="en-IN"/>
              </w:rPr>
              <w:t>Student Name</w:t>
            </w:r>
          </w:p>
        </w:tc>
        <w:tc>
          <w:tcPr>
            <w:tcW w:w="6521" w:type="dxa"/>
            <w:gridSpan w:val="2"/>
          </w:tcPr>
          <w:p w14:paraId="2C372ECB" w14:textId="6B84C843" w:rsidR="0020306E" w:rsidRDefault="00075C6C">
            <w:pPr>
              <w:spacing w:before="40" w:after="40"/>
              <w:ind w:left="0" w:firstLine="0"/>
              <w:jc w:val="left"/>
              <w:rPr>
                <w:rFonts w:eastAsiaTheme="minorHAnsi" w:cstheme="minorHAnsi"/>
                <w:lang w:val="en-IN"/>
              </w:rPr>
            </w:pPr>
            <w:r w:rsidRPr="00075C6C">
              <w:rPr>
                <w:rFonts w:eastAsiaTheme="minorHAnsi" w:cstheme="minorHAnsi" w:ascii="Calibri" w:hAnsi="Calibri"/>
                <w:sz w:val="20"/>
              </w:rPr>
              <w:t>Dhanasiri Raghavender Reddy</w:t>
            </w:r>
          </w:p>
        </w:tc>
      </w:tr>
      <w:tr w:rsidR="0020306E" w14:paraId="770F765E" w14:textId="77777777" w:rsidTr="00F60DDD">
        <w:tc>
          <w:tcPr>
            <w:tcW w:w="3261" w:type="dxa"/>
          </w:tcPr>
          <w:p w14:paraId="2840AAC2" w14:textId="77777777" w:rsidR="0020306E" w:rsidRDefault="00000000">
            <w:pPr>
              <w:spacing w:before="40" w:after="40"/>
              <w:ind w:left="0" w:firstLine="0"/>
              <w:jc w:val="left"/>
              <w:rPr>
                <w:rFonts w:eastAsiaTheme="minorHAnsi" w:cstheme="minorHAnsi"/>
                <w:b/>
                <w:lang w:val="en-IN"/>
              </w:rPr>
            </w:pPr>
            <w:r>
              <w:rPr>
                <w:rFonts w:eastAsiaTheme="minorHAnsi" w:cstheme="minorHAnsi" w:ascii="Calibri" w:hAnsi="Calibri"/>
                <w:b/>
                <w:sz w:val="20"/>
                <w:lang w:val="en-IN"/>
              </w:rPr>
              <w:t>Student Registration Number</w:t>
            </w:r>
          </w:p>
        </w:tc>
        <w:tc>
          <w:tcPr>
            <w:tcW w:w="2410" w:type="dxa"/>
          </w:tcPr>
          <w:p w14:paraId="53E39BE2" w14:textId="7FA2F82D" w:rsidR="0020306E" w:rsidRDefault="00000000">
            <w:pPr>
              <w:spacing w:before="40" w:after="40"/>
              <w:ind w:left="0" w:firstLine="0"/>
              <w:jc w:val="left"/>
              <w:rPr>
                <w:rFonts w:eastAsiaTheme="minorHAnsi" w:cstheme="minorHAnsi"/>
                <w:lang w:val="en-IN"/>
              </w:rPr>
            </w:pPr>
            <w:r>
              <w:rPr>
                <w:rFonts w:eastAsiaTheme="minorHAnsi" w:cstheme="minorHAnsi" w:ascii="Calibri" w:hAnsi="Calibri"/>
                <w:sz w:val="20"/>
                <w:lang w:val="en-IN"/>
              </w:rPr>
              <w:t>252U1R30</w:t>
            </w:r>
            <w:r w:rsidR="00075C6C">
              <w:rPr>
                <w:rFonts w:eastAsiaTheme="minorHAnsi" w:cstheme="minorHAnsi" w:ascii="Calibri" w:hAnsi="Calibri"/>
                <w:sz w:val="20"/>
                <w:lang w:val="en-IN"/>
              </w:rPr>
              <w:t>24</w:t>
            </w:r>
          </w:p>
        </w:tc>
        <w:tc>
          <w:tcPr>
            <w:tcW w:w="4111" w:type="dxa"/>
          </w:tcPr>
          <w:p w14:paraId="5DE00AE9" w14:textId="77777777" w:rsidR="0020306E" w:rsidRDefault="00000000">
            <w:pPr>
              <w:spacing w:before="40" w:after="40"/>
              <w:ind w:left="0" w:firstLine="0"/>
              <w:jc w:val="left"/>
              <w:rPr>
                <w:rFonts w:eastAsiaTheme="minorHAnsi" w:cstheme="minorHAnsi"/>
                <w:b/>
                <w:bCs/>
                <w:lang w:val="en-IN"/>
              </w:rPr>
            </w:pPr>
            <w:r>
              <w:rPr>
                <w:rFonts w:eastAsiaTheme="minorHAnsi" w:cstheme="minorHAnsi" w:ascii="Calibri" w:hAnsi="Calibri"/>
                <w:b/>
                <w:bCs/>
                <w:sz w:val="20"/>
                <w:lang w:val="en-IN"/>
              </w:rPr>
              <w:t>Class &amp;Section: CSE(DS)-1A &amp; S-20</w:t>
            </w:r>
          </w:p>
        </w:tc>
      </w:tr>
      <w:tr w:rsidR="0020306E" w14:paraId="0D620BF2" w14:textId="77777777" w:rsidTr="00F60DDD">
        <w:tc>
          <w:tcPr>
            <w:tcW w:w="3261" w:type="dxa"/>
          </w:tcPr>
          <w:p w14:paraId="273CD94E" w14:textId="2A17E324" w:rsidR="0020306E" w:rsidRDefault="00000000">
            <w:pPr>
              <w:spacing w:before="40" w:after="40"/>
              <w:ind w:left="0" w:firstLine="0"/>
              <w:jc w:val="left"/>
              <w:rPr>
                <w:rFonts w:eastAsiaTheme="minorHAnsi" w:cstheme="minorHAnsi"/>
                <w:b/>
                <w:lang w:val="en-IN"/>
              </w:rPr>
            </w:pPr>
            <w:r>
              <w:rPr>
                <w:rFonts w:eastAsiaTheme="minorHAnsi" w:cstheme="minorHAnsi" w:ascii="Calibri" w:hAnsi="Calibri"/>
                <w:b/>
                <w:sz w:val="20"/>
                <w:lang w:val="en-IN"/>
              </w:rPr>
              <w:t>Study Level: UG/PG</w:t>
            </w:r>
          </w:p>
        </w:tc>
        <w:tc>
          <w:tcPr>
            <w:tcW w:w="2410" w:type="dxa"/>
          </w:tcPr>
          <w:p w14:paraId="64694134" w14:textId="77777777" w:rsidR="0020306E" w:rsidRDefault="00000000">
            <w:pPr>
              <w:spacing w:before="40" w:after="40"/>
              <w:ind w:left="0" w:firstLine="0"/>
              <w:jc w:val="left"/>
              <w:rPr>
                <w:rFonts w:eastAsiaTheme="minorHAnsi" w:cstheme="minorHAnsi"/>
                <w:lang w:val="en-IN"/>
              </w:rPr>
            </w:pPr>
            <w:r>
              <w:rPr>
                <w:rFonts w:eastAsiaTheme="minorHAnsi" w:cstheme="minorHAnsi" w:ascii="Calibri" w:hAnsi="Calibri"/>
                <w:sz w:val="20"/>
                <w:lang w:val="en-IN"/>
              </w:rPr>
              <w:t>UG</w:t>
            </w:r>
          </w:p>
        </w:tc>
        <w:tc>
          <w:tcPr>
            <w:tcW w:w="4111" w:type="dxa"/>
          </w:tcPr>
          <w:p w14:paraId="34F746C0" w14:textId="77777777" w:rsidR="0020306E" w:rsidRDefault="00000000">
            <w:pPr>
              <w:spacing w:before="40" w:after="40"/>
              <w:ind w:left="0" w:firstLine="0"/>
              <w:jc w:val="left"/>
              <w:rPr>
                <w:rFonts w:eastAsiaTheme="minorHAnsi" w:cstheme="minorHAnsi"/>
                <w:b/>
                <w:bCs/>
                <w:lang w:val="en-IN"/>
              </w:rPr>
            </w:pPr>
            <w:r>
              <w:rPr>
                <w:rFonts w:eastAsiaTheme="minorHAnsi" w:cstheme="minorHAnsi" w:ascii="Calibri" w:hAnsi="Calibri"/>
                <w:b/>
                <w:bCs/>
                <w:sz w:val="20"/>
                <w:lang w:val="en-IN"/>
              </w:rPr>
              <w:t>Year &amp;Term: II</w:t>
            </w:r>
            <w:r>
              <w:rPr>
                <w:rFonts w:eastAsiaTheme="minorHAnsi" w:cstheme="minorHAnsi" w:ascii="Calibri" w:hAnsi="Calibri"/>
                <w:bCs/>
                <w:sz w:val="20"/>
                <w:lang w:val="en-IN"/>
              </w:rPr>
              <w:t xml:space="preserve"> &amp; I</w:t>
            </w:r>
          </w:p>
        </w:tc>
      </w:tr>
      <w:tr w:rsidR="0020306E" w14:paraId="329B9317" w14:textId="77777777">
        <w:tc>
          <w:tcPr>
            <w:tcW w:w="3261" w:type="dxa"/>
          </w:tcPr>
          <w:p w14:paraId="0570EE60" w14:textId="77777777" w:rsidR="0020306E" w:rsidRDefault="00000000">
            <w:pPr>
              <w:spacing w:before="40" w:after="40"/>
              <w:ind w:left="0" w:firstLine="0"/>
              <w:jc w:val="left"/>
              <w:rPr>
                <w:rFonts w:eastAsiaTheme="minorHAnsi" w:cstheme="minorHAnsi"/>
                <w:b/>
                <w:lang w:val="en-IN"/>
              </w:rPr>
            </w:pPr>
            <w:r>
              <w:rPr>
                <w:rFonts w:eastAsiaTheme="minorHAnsi" w:cstheme="minorHAnsi" w:ascii="Calibri" w:hAnsi="Calibri"/>
                <w:b/>
                <w:sz w:val="20"/>
                <w:lang w:val="en-IN"/>
              </w:rPr>
              <w:t>Subject Name</w:t>
            </w:r>
          </w:p>
        </w:tc>
        <w:tc>
          <w:tcPr>
            <w:tcW w:w="6521" w:type="dxa"/>
            <w:gridSpan w:val="2"/>
          </w:tcPr>
          <w:p w14:paraId="587599D6" w14:textId="77777777" w:rsidR="0020306E" w:rsidRDefault="00000000">
            <w:pPr>
              <w:spacing w:before="40" w:after="40"/>
              <w:ind w:left="0" w:firstLine="0"/>
              <w:jc w:val="left"/>
              <w:rPr>
                <w:rFonts w:eastAsiaTheme="minorHAnsi" w:cstheme="minorHAnsi"/>
                <w:lang w:val="en-IN"/>
              </w:rPr>
            </w:pPr>
            <w:r>
              <w:rPr>
                <w:rFonts w:eastAsiaTheme="minorHAnsi" w:cstheme="minorHAnsi" w:ascii="Calibri" w:hAnsi="Calibri"/>
                <w:sz w:val="20"/>
                <w:lang w:val="en-IN"/>
              </w:rPr>
              <w:t>Foundation of Data Science</w:t>
            </w:r>
          </w:p>
        </w:tc>
      </w:tr>
    </w:tbl>
    <w:p w14:paraId="1566A5DC" w14:textId="77777777" w:rsidR="0020306E" w:rsidRDefault="0020306E">
      <w:pPr>
        <w:jc w:val="right"/>
        <w:rPr>
          <w:rFonts w:cstheme="minorHAnsi"/>
          <w:lang w:val="en-IN"/>
        </w:rPr>
      </w:pPr>
    </w:p>
    <w:tbl>
      <w:tblPr>
        <w:tblStyle w:val="TableGrid"/>
        <w:tblW w:w="9747" w:type="dxa"/>
        <w:jc w:val="center"/>
        <w:tblInd w:w="-176"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403"/>
        <w:gridCol w:w="6344"/>
      </w:tblGrid>
      <w:tr w:rsidR="0020306E" w14:paraId="3C54077C" w14:textId="77777777" w:rsidTr="00F60DDD">
        <w:tc>
          <w:tcPr>
            <w:tcW w:w="3403" w:type="dxa"/>
          </w:tcPr>
          <w:p w14:paraId="1DF5ADDC" w14:textId="77777777" w:rsidR="0020306E" w:rsidRDefault="00000000">
            <w:pPr>
              <w:spacing w:before="80" w:after="80"/>
              <w:ind w:left="0" w:firstLine="0"/>
              <w:jc w:val="left"/>
              <w:rPr>
                <w:rFonts w:eastAsiaTheme="minorHAnsi" w:cstheme="minorHAnsi"/>
                <w:b/>
                <w:lang w:val="en-IN"/>
              </w:rPr>
            </w:pPr>
            <w:r>
              <w:rPr>
                <w:rFonts w:eastAsiaTheme="minorHAnsi" w:cstheme="minorHAnsi" w:ascii="Calibri" w:hAnsi="Calibri"/>
                <w:b/>
                <w:sz w:val="20"/>
                <w:lang w:val="en-IN"/>
              </w:rPr>
              <w:t>Name of the Assessment</w:t>
            </w:r>
          </w:p>
        </w:tc>
        <w:tc>
          <w:tcPr>
            <w:tcW w:w="6344" w:type="dxa"/>
          </w:tcPr>
          <w:p>
            <w:r>
              <w:rPr>
                <w:rFonts w:ascii="Calibri" w:hAnsi="Calibri"/>
                <w:sz w:val="20"/>
              </w:rPr>
              <w:t>Assignment 2: DeepFake Image Detection</w:t>
            </w:r>
          </w:p>
        </w:tc>
      </w:tr>
      <w:tr w:rsidR="0020306E" w14:paraId="6D8C6090" w14:textId="77777777" w:rsidTr="00F60DDD">
        <w:tc>
          <w:tcPr>
            <w:tcW w:w="3403" w:type="dxa"/>
          </w:tcPr>
          <w:p w14:paraId="7EAFF8FC" w14:textId="77777777" w:rsidR="0020306E" w:rsidRDefault="00000000">
            <w:pPr>
              <w:spacing w:before="80" w:after="80"/>
              <w:ind w:left="0" w:firstLine="0"/>
              <w:jc w:val="left"/>
              <w:rPr>
                <w:rFonts w:eastAsiaTheme="minorHAnsi" w:cstheme="minorHAnsi"/>
                <w:b/>
                <w:lang w:val="en-IN"/>
              </w:rPr>
            </w:pPr>
            <w:r>
              <w:rPr>
                <w:rFonts w:eastAsiaTheme="minorHAnsi" w:cstheme="minorHAnsi" w:ascii="Calibri" w:hAnsi="Calibri"/>
                <w:b/>
                <w:sz w:val="20"/>
                <w:lang w:val="en-IN"/>
              </w:rPr>
              <w:t>Date of Submission</w:t>
            </w:r>
          </w:p>
        </w:tc>
        <w:tc>
          <w:tcPr>
            <w:tcW w:w="6344" w:type="dxa"/>
          </w:tcPr>
          <w:p>
            <w:r>
              <w:rPr>
                <w:rFonts w:ascii="Calibri" w:hAnsi="Calibri"/>
                <w:sz w:val="20"/>
              </w:rPr>
              <w:t>29-09-2026</w:t>
            </w:r>
          </w:p>
        </w:tc>
      </w:tr>
      <w:tr w:rsidR="00F60DDD" w14:paraId="2CAB7613" w14:textId="77777777" w:rsidTr="00F60DD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403" w:type="dxa"/>
          </w:tcPr>
          <w:p w14:paraId="4FA02D2C" w14:textId="7D1D2E53" w:rsidR="00F60DDD" w:rsidRDefault="00F60DDD" w:rsidP="003B7E7F">
            <w:pPr>
              <w:spacing w:before="80" w:after="80"/>
              <w:ind w:left="0" w:firstLine="0"/>
              <w:jc w:val="left"/>
              <w:rPr>
                <w:rFonts w:eastAsiaTheme="minorHAnsi" w:cstheme="minorHAnsi"/>
                <w:b/>
                <w:lang w:val="en-IN"/>
              </w:rPr>
            </w:pPr>
            <w:r>
              <w:rPr>
                <w:rFonts w:eastAsiaTheme="minorHAnsi" w:cstheme="minorHAnsi" w:ascii="Calibri" w:hAnsi="Calibri"/>
                <w:b/>
                <w:sz w:val="20"/>
                <w:lang w:val="en-IN"/>
              </w:rPr>
              <w:t>GROUP NUMBER</w:t>
            </w:r>
          </w:p>
        </w:tc>
        <w:tc>
          <w:tcPr>
            <w:tcW w:w="6344" w:type="dxa"/>
          </w:tcPr>
          <w:p>
            <w:r>
              <w:rPr>
                <w:rFonts w:ascii="Calibri" w:hAnsi="Calibri"/>
                <w:sz w:val="20"/>
              </w:rPr>
              <w:t>LG-5</w:t>
            </w:r>
          </w:p>
        </w:tc>
      </w:tr>
    </w:tbl>
    <w:p w14:paraId="3D617258" w14:textId="77777777" w:rsidR="0020306E" w:rsidRDefault="0020306E">
      <w:pPr>
        <w:pStyle w:val="Default"/>
        <w:spacing w:before="0" w:line="336" w:lineRule="auto"/>
        <w:jc w:val="both"/>
      </w:pPr>
    </w:p>
    <w:p w14:paraId="3703772C" w14:textId="77777777" w:rsidR="0020306E" w:rsidRDefault="0020306E">
      <w:pPr>
        <w:pStyle w:val="Default"/>
        <w:spacing w:before="0" w:line="336" w:lineRule="auto"/>
        <w:jc w:val="both"/>
        <w:rPr>
          <w:rStyle w:val="Strong"/>
          <w:rFonts w:ascii="Times New Roman" w:eastAsia="SimSun" w:hAnsi="Times New Roman" w:cs="Times New Roman"/>
          <w:color w:val="auto"/>
          <w:lang w:eastAsia="zh-CN" w:bidi="ar-SA"/>
        </w:rPr>
      </w:pPr>
    </w:p>
    <w:p w14:paraId="0ACEB87F" w14:textId="77777777" w:rsidR="009F5B84" w:rsidRDefault="009F5B84">
      <w:pPr>
        <w:pStyle w:val="Default"/>
        <w:spacing w:before="0" w:line="336" w:lineRule="auto"/>
        <w:jc w:val="both"/>
        <w:rPr>
          <w:rStyle w:val="Strong"/>
          <w:rFonts w:ascii="Times New Roman" w:eastAsia="SimSun" w:hAnsi="Times New Roman" w:cs="Times New Roman"/>
          <w:color w:val="auto"/>
          <w:lang w:eastAsia="zh-CN" w:bidi="ar-SA"/>
        </w:rPr>
      </w:pPr>
    </w:p>
    <w:p w14:paraId="10232239" w14:textId="77777777" w:rsidR="009F5B84" w:rsidRDefault="009F5B84">
      <w:pPr>
        <w:pStyle w:val="Default"/>
        <w:spacing w:before="0" w:line="336" w:lineRule="auto"/>
        <w:jc w:val="both"/>
        <w:rPr>
          <w:rStyle w:val="Strong"/>
          <w:rFonts w:ascii="Times New Roman" w:eastAsia="SimSun" w:hAnsi="Times New Roman" w:cs="Times New Roman"/>
          <w:color w:val="auto"/>
          <w:lang w:eastAsia="zh-CN" w:bidi="ar-SA"/>
        </w:rPr>
      </w:pPr>
    </w:p>
    <w:p w14:paraId="158933E6" w14:textId="77777777" w:rsidR="009F5B84" w:rsidRDefault="009F5B84">
      <w:pPr>
        <w:pStyle w:val="Default"/>
        <w:spacing w:before="0" w:line="336" w:lineRule="auto"/>
        <w:jc w:val="both"/>
        <w:rPr>
          <w:rStyle w:val="Strong"/>
          <w:rFonts w:ascii="Times New Roman" w:eastAsia="SimSun" w:hAnsi="Times New Roman" w:cs="Times New Roman"/>
          <w:color w:val="auto"/>
          <w:lang w:eastAsia="zh-CN" w:bidi="ar-SA"/>
        </w:rPr>
      </w:pPr>
    </w:p>
    <w:p w14:paraId="3FFD8005" w14:textId="77777777" w:rsidR="009F5B84" w:rsidRDefault="009F5B84">
      <w:pPr>
        <w:pStyle w:val="Default"/>
        <w:spacing w:before="0" w:line="336" w:lineRule="auto"/>
        <w:jc w:val="both"/>
        <w:rPr>
          <w:rStyle w:val="Strong"/>
          <w:rFonts w:ascii="Times New Roman" w:eastAsia="SimSun" w:hAnsi="Times New Roman" w:cs="Times New Roman"/>
          <w:color w:val="auto"/>
          <w:lang w:eastAsia="zh-CN" w:bidi="ar-SA"/>
        </w:rPr>
      </w:pPr>
    </w:p>
    <w:p w14:paraId="5B27BEC0" w14:textId="77777777" w:rsidR="009F5B84" w:rsidRDefault="009F5B84">
      <w:pPr>
        <w:pStyle w:val="Default"/>
        <w:spacing w:before="0" w:line="336" w:lineRule="auto"/>
        <w:jc w:val="both"/>
        <w:rPr>
          <w:rStyle w:val="Strong"/>
          <w:rFonts w:ascii="Times New Roman" w:eastAsia="SimSun" w:hAnsi="Times New Roman" w:cs="Times New Roman"/>
          <w:color w:val="auto"/>
          <w:lang w:eastAsia="zh-CN" w:bidi="ar-SA"/>
        </w:rPr>
      </w:pPr>
    </w:p>
    <w:p w14:paraId="55B4BCBB" w14:textId="77777777" w:rsidR="009F5B84" w:rsidRDefault="009F5B84">
      <w:pPr>
        <w:pStyle w:val="Default"/>
        <w:spacing w:before="0" w:line="336" w:lineRule="auto"/>
        <w:jc w:val="both"/>
        <w:rPr>
          <w:rStyle w:val="Strong"/>
          <w:rFonts w:ascii="Times New Roman" w:eastAsia="SimSun" w:hAnsi="Times New Roman" w:cs="Times New Roman"/>
          <w:color w:val="auto"/>
          <w:lang w:eastAsia="zh-CN" w:bidi="ar-SA"/>
        </w:rPr>
      </w:pPr>
    </w:p>
    <w:p w14:paraId="06726C62" w14:textId="77777777" w:rsidR="009F5B84" w:rsidRDefault="009F5B84">
      <w:pPr>
        <w:pStyle w:val="Default"/>
        <w:spacing w:before="0" w:line="336" w:lineRule="auto"/>
        <w:jc w:val="both"/>
        <w:rPr>
          <w:rStyle w:val="Strong"/>
          <w:rFonts w:ascii="Times New Roman" w:eastAsia="SimSun" w:hAnsi="Times New Roman" w:cs="Times New Roman"/>
          <w:color w:val="auto"/>
          <w:lang w:eastAsia="zh-CN" w:bidi="ar-SA"/>
        </w:rPr>
      </w:pPr>
    </w:p>
    <w:p w14:paraId="22D18DBB" w14:textId="77777777" w:rsidR="009F5B84" w:rsidRDefault="009F5B84">
      <w:pPr>
        <w:pStyle w:val="Default"/>
        <w:spacing w:before="0" w:line="336" w:lineRule="auto"/>
        <w:jc w:val="both"/>
        <w:rPr>
          <w:rStyle w:val="Strong"/>
          <w:rFonts w:ascii="Times New Roman" w:eastAsia="SimSun" w:hAnsi="Times New Roman" w:cs="Times New Roman"/>
          <w:color w:val="auto"/>
          <w:lang w:eastAsia="zh-CN" w:bidi="ar-SA"/>
        </w:rPr>
      </w:pPr>
    </w:p>
    <w:p w14:paraId="47CCC077" w14:textId="77777777" w:rsidR="009F5B84" w:rsidRDefault="009F5B84">
      <w:pPr>
        <w:pStyle w:val="Default"/>
        <w:spacing w:before="0" w:line="336" w:lineRule="auto"/>
        <w:jc w:val="both"/>
        <w:rPr>
          <w:rStyle w:val="Strong"/>
          <w:rFonts w:ascii="Times New Roman" w:eastAsia="SimSun" w:hAnsi="Times New Roman" w:cs="Times New Roman"/>
          <w:color w:val="auto"/>
          <w:lang w:eastAsia="zh-CN" w:bidi="ar-SA"/>
        </w:rPr>
      </w:pPr>
    </w:p>
    <w:p w14:paraId="4CC3166F" w14:textId="77777777" w:rsidR="009F5B84" w:rsidRDefault="009F5B84">
      <w:pPr>
        <w:pStyle w:val="Default"/>
        <w:spacing w:before="0" w:line="336" w:lineRule="auto"/>
        <w:jc w:val="both"/>
        <w:rPr>
          <w:rStyle w:val="Strong"/>
          <w:rFonts w:ascii="Times New Roman" w:eastAsia="SimSun" w:hAnsi="Times New Roman" w:cs="Times New Roman"/>
          <w:color w:val="auto"/>
          <w:lang w:eastAsia="zh-CN" w:bidi="ar-SA"/>
        </w:rPr>
      </w:pPr>
    </w:p>
    <w:p w14:paraId="0D95582C" w14:textId="77777777" w:rsidR="009F5B84" w:rsidRDefault="009F5B84">
      <w:pPr>
        <w:pStyle w:val="Default"/>
        <w:spacing w:before="0" w:line="336" w:lineRule="auto"/>
        <w:jc w:val="both"/>
        <w:rPr>
          <w:rStyle w:val="Strong"/>
          <w:rFonts w:ascii="Times New Roman" w:eastAsia="SimSun" w:hAnsi="Times New Roman" w:cs="Times New Roman"/>
          <w:color w:val="auto"/>
          <w:lang w:eastAsia="zh-CN" w:bidi="ar-SA"/>
        </w:rPr>
      </w:pPr>
    </w:p>
    <w:p w14:paraId="3C199E42" w14:textId="77777777" w:rsidR="0093292C" w:rsidRPr="00472236" w:rsidRDefault="0093292C">
      <w:pPr>
        <w:pStyle w:val="Default"/>
        <w:spacing w:before="0" w:line="336" w:lineRule="auto"/>
        <w:jc w:val="both"/>
        <w:rPr>
          <w:lang w:val="en-IN"/>
        </w:rPr>
      </w:pPr>
    </w:p>
    <w:p>
      <w:pPr>
        <w:spacing w:after="200"/>
      </w:pPr>
    </w:p>
    <w:p>
      <w:pPr>
        <w:spacing w:before="200" w:after="40"/>
        <w:jc w:val="center"/>
      </w:pPr>
      <w:r>
        <w:rPr>
          <w:rFonts w:ascii="Calibri" w:hAnsi="Calibri"/>
          <w:b/>
          <w:color w:val="1A365D"/>
          <w:sz w:val="44"/>
        </w:rPr>
        <w:t>Assignment 2: DeepFake Image Detection</w:t>
      </w:r>
    </w:p>
    <w:p>
      <w:pPr>
        <w:spacing w:after="280"/>
        <w:jc w:val="center"/>
      </w:pPr>
      <w:r>
        <w:rPr>
          <w:rFonts w:ascii="Calibri" w:hAnsi="Calibri"/>
          <w:b/>
          <w:color w:val="2B6CB0"/>
          <w:sz w:val="26"/>
        </w:rPr>
        <w:t>Forensic Analysis of Residual Noise Texture in Digital Images for Deepfake Detection</w:t>
      </w:r>
    </w:p>
    <w:tbl>
      <w:tblPr>
        <w:tblW w:type="auto" w:w="0"/>
        <w:jc w:val="center"/>
        <w:tblLook w:firstColumn="1" w:firstRow="1" w:lastColumn="0" w:lastRow="0" w:noHBand="0" w:noVBand="1" w:val="04A0"/>
      </w:tblPr>
      <w:tblGrid>
        <w:gridCol w:w="9638"/>
      </w:tblGrid>
      <w:tr>
        <w:tc>
          <w:tcPr>
            <w:tcW w:type="dxa" w:w="9360"/>
            <w:shd w:fill="EBF8FF"/>
            <w:tcMar>
              <w:top w:w="160" w:type="dxa"/>
              <w:bottom w:w="160" w:type="dxa"/>
              <w:left w:w="200" w:type="dxa"/>
              <w:right w:w="200" w:type="dxa"/>
            </w:tcMar>
          </w:tcPr>
          <w:p>
            <w:pPr>
              <w:spacing w:after="0" w:line="276" w:lineRule="auto"/>
            </w:pPr>
            <w:r>
              <w:rPr>
                <w:rFonts w:ascii="Calibri" w:hAnsi="Calibri"/>
                <w:b/>
                <w:color w:val="1A365D"/>
                <w:sz w:val="21"/>
              </w:rPr>
              <w:t xml:space="preserve">Executive Summary: </w:t>
            </w:r>
            <w:r>
              <w:rPr>
                <w:rFonts w:ascii="Calibri" w:hAnsi="Calibri"/>
                <w:color w:val="2D3748"/>
                <w:sz w:val="21"/>
              </w:rPr>
              <w:t>This report presents an end-to-end Data Science and Machine Learning project for forensic detection of AI-generated imagery (deepfakes). Replicating and extending the methodology published at IEEE ICASSP 2025 (Méreur et al.), this system extracts discrete Laplacian residual noise textures, computes multi-scale box-counting Fractal Dimension (FD), and block-wise Texture Complexity (TC). Furthermore, novel high-frequency Fourier spectral profiling and a calibrated soft-voting hybrid ensemble are introduced, achieving robust 100% 5-fold cross-validated detection with complete physical explainability.</w:t>
            </w:r>
          </w:p>
        </w:tc>
      </w:tr>
    </w:tbl>
    <w:p>
      <w:pPr>
        <w:spacing w:after="160"/>
      </w:pPr>
    </w:p>
    <w:p>
      <w:pPr>
        <w:keepNext/>
        <w:spacing w:before="320" w:after="120"/>
      </w:pPr>
      <w:r>
        <w:rPr>
          <w:rFonts w:ascii="Calibri" w:hAnsi="Calibri"/>
          <w:b/>
          <w:color w:val="1A365D"/>
          <w:sz w:val="32"/>
        </w:rPr>
        <w:t>1. Introduction</w:t>
      </w:r>
    </w:p>
    <w:p>
      <w:pPr>
        <w:spacing w:after="120" w:line="276" w:lineRule="auto"/>
      </w:pPr>
      <w:r>
        <w:rPr>
          <w:rFonts w:ascii="Calibri" w:hAnsi="Calibri"/>
          <w:i w:val="0"/>
          <w:color w:val="2D3748"/>
          <w:sz w:val="22"/>
        </w:rPr>
        <w:t>The democratization of generative artificial intelligence (including Latent Diffusion models like Stable Diffusion and Kandinsky, Generative Adversarial Networks like StyleGAN, and Autoregressive Transformers like DALL-E) has enabled the creation of photorealistic fabricated imagery with unprecedented fidelity. While these technologies unlock remarkable creative capabilities, they pose severe societal threats regarding disinformation, counterfeit identity, political deception, and synthetic evidence fabrication.</w:t>
      </w:r>
    </w:p>
    <w:p>
      <w:pPr>
        <w:spacing w:after="120" w:line="276" w:lineRule="auto"/>
      </w:pPr>
      <w:r>
        <w:rPr>
          <w:rFonts w:ascii="Calibri" w:hAnsi="Calibri"/>
          <w:i w:val="0"/>
          <w:color w:val="2D3748"/>
          <w:sz w:val="22"/>
        </w:rPr>
        <w:t>From a Data Science and Multimedia Forensics perspective, the vast majority of existing deepfake detection approaches utilize deep convolutional neural networks (e.g., EfficientNet, ResNet) or Vision Transformers. However, deep neural networks suffer from fundamental shortcomings:</w:t>
      </w:r>
    </w:p>
    <w:p>
      <w:pPr>
        <w:spacing w:after="60" w:line="276" w:lineRule="auto"/>
        <w:ind w:left="360"/>
      </w:pPr>
      <w:r>
        <w:rPr>
          <w:rFonts w:ascii="Calibri" w:hAnsi="Calibri"/>
          <w:b/>
          <w:color w:val="2B6CB0"/>
          <w:sz w:val="21"/>
        </w:rPr>
        <w:t xml:space="preserve">• </w:t>
      </w:r>
      <w:r>
        <w:rPr>
          <w:rFonts w:ascii="Calibri" w:hAnsi="Calibri"/>
          <w:b/>
          <w:color w:val="2D3748"/>
          <w:sz w:val="21"/>
        </w:rPr>
        <w:t xml:space="preserve">Lack of Explainability: </w:t>
      </w:r>
      <w:r>
        <w:rPr>
          <w:rFonts w:ascii="Calibri" w:hAnsi="Calibri"/>
          <w:color w:val="2D3748"/>
          <w:sz w:val="21"/>
        </w:rPr>
        <w:t>Deep networks function as opaque black boxes, offering no mathematical or physical justification for why an image is deemed authentic or synthetic.</w:t>
      </w:r>
    </w:p>
    <w:p>
      <w:pPr>
        <w:spacing w:after="60" w:line="276" w:lineRule="auto"/>
        <w:ind w:left="360"/>
      </w:pPr>
      <w:r>
        <w:rPr>
          <w:rFonts w:ascii="Calibri" w:hAnsi="Calibri"/>
          <w:b/>
          <w:color w:val="2B6CB0"/>
          <w:sz w:val="21"/>
        </w:rPr>
        <w:t xml:space="preserve">• </w:t>
      </w:r>
      <w:r>
        <w:rPr>
          <w:rFonts w:ascii="Calibri" w:hAnsi="Calibri"/>
          <w:b/>
          <w:color w:val="2D3748"/>
          <w:sz w:val="21"/>
        </w:rPr>
        <w:t xml:space="preserve">Overfitting to Training Fingerprints: </w:t>
      </w:r>
      <w:r>
        <w:rPr>
          <w:rFonts w:ascii="Calibri" w:hAnsi="Calibri"/>
          <w:color w:val="2D3748"/>
          <w:sz w:val="21"/>
        </w:rPr>
        <w:t>Deep networks frequently memorize specific generator artifacts or high-level semantics rather than physical properties of optical capture.</w:t>
      </w:r>
    </w:p>
    <w:p>
      <w:pPr>
        <w:spacing w:after="60" w:line="276" w:lineRule="auto"/>
        <w:ind w:left="360"/>
      </w:pPr>
      <w:r>
        <w:rPr>
          <w:rFonts w:ascii="Calibri" w:hAnsi="Calibri"/>
          <w:b/>
          <w:color w:val="2B6CB0"/>
          <w:sz w:val="21"/>
        </w:rPr>
        <w:t xml:space="preserve">• </w:t>
      </w:r>
      <w:r>
        <w:rPr>
          <w:rFonts w:ascii="Calibri" w:hAnsi="Calibri"/>
          <w:b/>
          <w:color w:val="2D3748"/>
          <w:sz w:val="21"/>
        </w:rPr>
        <w:t xml:space="preserve">Poor Generalization: </w:t>
      </w:r>
      <w:r>
        <w:rPr>
          <w:rFonts w:ascii="Calibri" w:hAnsi="Calibri"/>
          <w:color w:val="2D3748"/>
          <w:sz w:val="21"/>
        </w:rPr>
        <w:t>Classifiers trained on GANs often experience catastrophic accuracy drops when tested on modern Latent Diffusion architectures.</w:t>
      </w:r>
    </w:p>
    <w:p>
      <w:pPr>
        <w:spacing w:after="120" w:line="276" w:lineRule="auto"/>
      </w:pPr>
      <w:r>
        <w:rPr>
          <w:rFonts w:ascii="Calibri" w:hAnsi="Calibri"/>
          <w:i w:val="0"/>
          <w:color w:val="2D3748"/>
          <w:sz w:val="22"/>
        </w:rPr>
        <w:t>To resolve these challenges, this project investigates residual noise texture analysis. Authentic camera photographs exhibit stochastic Poisson-Gaussian noise originating from photon shot noise and Photo-Response Non-Uniformity (PRNU). Conversely, synthetic images generated by neural decoders undergo iterative reverse-diffusion or transposed convolution, resulting in unnatural spatial smoothing, attenuated high-frequency variance, and periodic upsampling grid artifacts. By mathematically isolating and quantifying these noise textures, we establish an interpretable, robust, and computationally lightweight forensic detector.</w:t>
      </w:r>
    </w:p>
    <w:p>
      <w:pPr>
        <w:keepNext/>
        <w:spacing w:before="320" w:after="120"/>
      </w:pPr>
      <w:r>
        <w:rPr>
          <w:rFonts w:ascii="Calibri" w:hAnsi="Calibri"/>
          <w:b/>
          <w:color w:val="1A365D"/>
          <w:sz w:val="32"/>
        </w:rPr>
        <w:t>2. Research Paper &amp; Reference Citation</w:t>
      </w:r>
    </w:p>
    <w:p>
      <w:pPr>
        <w:spacing w:after="120" w:line="276" w:lineRule="auto"/>
      </w:pPr>
      <w:r>
        <w:rPr>
          <w:rFonts w:ascii="Calibri" w:hAnsi="Calibri"/>
          <w:i w:val="0"/>
          <w:color w:val="2D3748"/>
          <w:sz w:val="22"/>
        </w:rPr>
        <w:t>The methodology implemented and extended in this work is based on the following publication:</w:t>
      </w:r>
    </w:p>
    <w:tbl>
      <w:tblPr>
        <w:tblW w:type="auto" w:w="0"/>
        <w:jc w:val="center"/>
        <w:tblLook w:firstColumn="1" w:firstRow="1" w:lastColumn="0" w:lastRow="0" w:noHBand="0" w:noVBand="1" w:val="04A0"/>
      </w:tblPr>
      <w:tblGrid>
        <w:gridCol w:w="4819"/>
        <w:gridCol w:w="4819"/>
      </w:tblGrid>
      <w:tr>
        <w:tc>
          <w:tcPr>
            <w:tcW w:type="dxa" w:w="3168"/>
            <w:shd w:fill="F7FAFC"/>
            <w:tcMar>
              <w:top w:w="80" w:type="dxa"/>
              <w:bottom w:w="80" w:type="dxa"/>
              <w:left w:w="100" w:type="dxa"/>
              <w:right w:w="100" w:type="dxa"/>
            </w:tcMar>
          </w:tcPr>
          <w:p>
            <w:pPr>
              <w:spacing w:after="0"/>
            </w:pPr>
            <w:r>
              <w:rPr>
                <w:rFonts w:ascii="Calibri" w:hAnsi="Calibri"/>
                <w:b/>
                <w:color w:val="1A365D"/>
                <w:sz w:val="20"/>
              </w:rPr>
              <w:t>Paper Title</w:t>
            </w:r>
          </w:p>
        </w:tc>
        <w:tc>
          <w:tcPr>
            <w:tcW w:type="dxa" w:w="6192"/>
            <w:tcMar>
              <w:top w:w="80" w:type="dxa"/>
              <w:bottom w:w="80" w:type="dxa"/>
              <w:left w:w="100" w:type="dxa"/>
              <w:right w:w="100" w:type="dxa"/>
            </w:tcMar>
          </w:tcPr>
          <w:p>
            <w:pPr>
              <w:spacing w:after="0"/>
            </w:pPr>
            <w:r>
              <w:rPr>
                <w:rFonts w:ascii="Calibri" w:hAnsi="Calibri"/>
                <w:color w:val="2D3748"/>
                <w:sz w:val="20"/>
              </w:rPr>
              <w:t>Forensics Analysis of Residual Noise Texture in Digital Images for Detection of Deepfake</w:t>
            </w:r>
          </w:p>
        </w:tc>
      </w:tr>
      <w:tr>
        <w:tc>
          <w:tcPr>
            <w:tcW w:type="dxa" w:w="3168"/>
            <w:shd w:fill="F7FAFC"/>
            <w:tcMar>
              <w:top w:w="80" w:type="dxa"/>
              <w:bottom w:w="80" w:type="dxa"/>
              <w:left w:w="100" w:type="dxa"/>
              <w:right w:w="100" w:type="dxa"/>
            </w:tcMar>
          </w:tcPr>
          <w:p>
            <w:pPr>
              <w:spacing w:after="0"/>
            </w:pPr>
            <w:r>
              <w:rPr>
                <w:rFonts w:ascii="Calibri" w:hAnsi="Calibri"/>
                <w:b/>
                <w:color w:val="1A365D"/>
                <w:sz w:val="20"/>
              </w:rPr>
              <w:t>Authors</w:t>
            </w:r>
          </w:p>
        </w:tc>
        <w:tc>
          <w:tcPr>
            <w:tcW w:type="dxa" w:w="6192"/>
            <w:tcMar>
              <w:top w:w="80" w:type="dxa"/>
              <w:bottom w:w="80" w:type="dxa"/>
              <w:left w:w="100" w:type="dxa"/>
              <w:right w:w="100" w:type="dxa"/>
            </w:tcMar>
          </w:tcPr>
          <w:p>
            <w:pPr>
              <w:spacing w:after="0"/>
            </w:pPr>
            <w:r>
              <w:rPr>
                <w:rFonts w:ascii="Calibri" w:hAnsi="Calibri"/>
                <w:color w:val="2D3748"/>
                <w:sz w:val="20"/>
              </w:rPr>
              <w:t>Arthur Méreur, Antoine Mallet, Rémi Cogranne, Minoru Kuribayashi</w:t>
            </w:r>
          </w:p>
        </w:tc>
      </w:tr>
      <w:tr>
        <w:tc>
          <w:tcPr>
            <w:tcW w:type="dxa" w:w="3168"/>
            <w:shd w:fill="F7FAFC"/>
            <w:tcMar>
              <w:top w:w="80" w:type="dxa"/>
              <w:bottom w:w="80" w:type="dxa"/>
              <w:left w:w="100" w:type="dxa"/>
              <w:right w:w="100" w:type="dxa"/>
            </w:tcMar>
          </w:tcPr>
          <w:p>
            <w:pPr>
              <w:spacing w:after="0"/>
            </w:pPr>
            <w:r>
              <w:rPr>
                <w:rFonts w:ascii="Calibri" w:hAnsi="Calibri"/>
                <w:b/>
                <w:color w:val="1A365D"/>
                <w:sz w:val="20"/>
              </w:rPr>
              <w:t>Conference</w:t>
            </w:r>
          </w:p>
        </w:tc>
        <w:tc>
          <w:tcPr>
            <w:tcW w:type="dxa" w:w="6192"/>
            <w:tcMar>
              <w:top w:w="80" w:type="dxa"/>
              <w:bottom w:w="80" w:type="dxa"/>
              <w:left w:w="100" w:type="dxa"/>
              <w:right w:w="100" w:type="dxa"/>
            </w:tcMar>
          </w:tcPr>
          <w:p>
            <w:pPr>
              <w:spacing w:after="0"/>
            </w:pPr>
            <w:r>
              <w:rPr>
                <w:rFonts w:ascii="Calibri" w:hAnsi="Calibri"/>
                <w:color w:val="2D3748"/>
                <w:sz w:val="20"/>
              </w:rPr>
              <w:t>IEEE International Conference on Acoustics, Speech and Signal Processing (ICASSP 2025)</w:t>
            </w:r>
          </w:p>
        </w:tc>
      </w:tr>
      <w:tr>
        <w:tc>
          <w:tcPr>
            <w:tcW w:type="dxa" w:w="3168"/>
            <w:shd w:fill="F7FAFC"/>
            <w:tcMar>
              <w:top w:w="80" w:type="dxa"/>
              <w:bottom w:w="80" w:type="dxa"/>
              <w:left w:w="100" w:type="dxa"/>
              <w:right w:w="100" w:type="dxa"/>
            </w:tcMar>
          </w:tcPr>
          <w:p>
            <w:pPr>
              <w:spacing w:after="0"/>
            </w:pPr>
            <w:r>
              <w:rPr>
                <w:rFonts w:ascii="Calibri" w:hAnsi="Calibri"/>
                <w:b/>
                <w:color w:val="1A365D"/>
                <w:sz w:val="20"/>
              </w:rPr>
              <w:t>Official Link / DOI</w:t>
            </w:r>
          </w:p>
        </w:tc>
        <w:tc>
          <w:tcPr>
            <w:tcW w:type="dxa" w:w="6192"/>
            <w:tcMar>
              <w:top w:w="80" w:type="dxa"/>
              <w:bottom w:w="80" w:type="dxa"/>
              <w:left w:w="100" w:type="dxa"/>
              <w:right w:w="100" w:type="dxa"/>
            </w:tcMar>
          </w:tcPr>
          <w:p>
            <w:pPr>
              <w:spacing w:after="0"/>
            </w:pPr>
            <w:r>
              <w:rPr>
                <w:rFonts w:ascii="Calibri" w:hAnsi="Calibri"/>
                <w:color w:val="2D3748"/>
                <w:sz w:val="20"/>
              </w:rPr>
              <w:t>https://doi.org/10.1109/ICASSP49660.2025.10887712</w:t>
            </w:r>
          </w:p>
        </w:tc>
      </w:tr>
      <w:tr>
        <w:tc>
          <w:tcPr>
            <w:tcW w:type="dxa" w:w="3168"/>
            <w:shd w:fill="F7FAFC"/>
            <w:tcMar>
              <w:top w:w="80" w:type="dxa"/>
              <w:bottom w:w="80" w:type="dxa"/>
              <w:left w:w="100" w:type="dxa"/>
              <w:right w:w="100" w:type="dxa"/>
            </w:tcMar>
          </w:tcPr>
          <w:p>
            <w:pPr>
              <w:spacing w:after="0"/>
            </w:pPr>
            <w:r>
              <w:rPr>
                <w:rFonts w:ascii="Calibri" w:hAnsi="Calibri"/>
                <w:b/>
                <w:color w:val="1A365D"/>
                <w:sz w:val="20"/>
              </w:rPr>
              <w:t>Collective Dataset Target</w:t>
            </w:r>
          </w:p>
        </w:tc>
        <w:tc>
          <w:tcPr>
            <w:tcW w:type="dxa" w:w="6192"/>
            <w:tcMar>
              <w:top w:w="80" w:type="dxa"/>
              <w:bottom w:w="80" w:type="dxa"/>
              <w:left w:w="100" w:type="dxa"/>
              <w:right w:w="100" w:type="dxa"/>
            </w:tcMar>
          </w:tcPr>
          <w:p>
            <w:pPr>
              <w:spacing w:after="0"/>
            </w:pPr>
            <w:r>
              <w:rPr>
                <w:rFonts w:ascii="Calibri" w:hAnsi="Calibri"/>
                <w:color w:val="2D3748"/>
                <w:sz w:val="20"/>
              </w:rPr>
              <w:t>Minimum 2,000 images (Real: 1,096 images, Fake: 996 images, Total: 2,092 images)</w:t>
            </w:r>
          </w:p>
        </w:tc>
      </w:tr>
    </w:tbl>
    <w:p>
      <w:pPr>
        <w:spacing w:after="160"/>
      </w:pPr>
    </w:p>
    <w:p>
      <w:pPr>
        <w:keepNext/>
        <w:spacing w:before="320" w:after="120"/>
      </w:pPr>
      <w:r>
        <w:rPr>
          <w:rFonts w:ascii="Calibri" w:hAnsi="Calibri"/>
          <w:b/>
          <w:color w:val="1A365D"/>
          <w:sz w:val="32"/>
        </w:rPr>
        <w:t>3. System Architecture &amp; Forensic Methodology</w:t>
      </w:r>
    </w:p>
    <w:p>
      <w:pPr>
        <w:spacing w:after="120" w:line="276" w:lineRule="auto"/>
      </w:pPr>
      <w:r>
        <w:rPr>
          <w:rFonts w:ascii="Calibri" w:hAnsi="Calibri"/>
          <w:i w:val="0"/>
          <w:color w:val="2D3748"/>
          <w:sz w:val="22"/>
        </w:rPr>
        <w:t>The end-to-end framework implements five systematic Data Science phases:</w:t>
      </w:r>
    </w:p>
    <w:p>
      <w:pPr>
        <w:keepNext/>
        <w:spacing w:before="240" w:after="80"/>
      </w:pPr>
      <w:r>
        <w:rPr>
          <w:rFonts w:ascii="Calibri" w:hAnsi="Calibri"/>
          <w:b/>
          <w:color w:val="2B6CB0"/>
          <w:sz w:val="26"/>
        </w:rPr>
        <w:t>3.1 Preprocessing</w:t>
      </w:r>
    </w:p>
    <w:p>
      <w:pPr>
        <w:spacing w:after="120" w:line="276" w:lineRule="auto"/>
      </w:pPr>
      <w:r>
        <w:rPr>
          <w:rFonts w:ascii="Calibri" w:hAnsi="Calibri"/>
          <w:i w:val="0"/>
          <w:color w:val="2D3748"/>
          <w:sz w:val="22"/>
        </w:rPr>
        <w:t>All input images are standardized to a resolution of 512×512 pixels. To eliminate chromatic discrepancies and focus strictly on sensor luminance fluctuations, only the grayscale luminance channel I(x, y) is retained.</w:t>
      </w:r>
    </w:p>
    <w:p>
      <w:pPr>
        <w:keepNext/>
        <w:spacing w:before="240" w:after="80"/>
      </w:pPr>
      <w:r>
        <w:rPr>
          <w:rFonts w:ascii="Calibri" w:hAnsi="Calibri"/>
          <w:b/>
          <w:color w:val="2B6CB0"/>
          <w:sz w:val="26"/>
        </w:rPr>
        <w:t>3.2 Discrete Laplacian Noise Residual Extraction</w:t>
      </w:r>
    </w:p>
    <w:p>
      <w:pPr>
        <w:spacing w:after="120" w:line="276" w:lineRule="auto"/>
      </w:pPr>
      <w:r>
        <w:rPr>
          <w:rFonts w:ascii="Calibri" w:hAnsi="Calibri"/>
          <w:i w:val="0"/>
          <w:color w:val="2D3748"/>
          <w:sz w:val="22"/>
        </w:rPr>
        <w:t>To isolate the high-frequency residual noise from the underlying semantic image structure, the image is convolved with the discrete second-order differential Laplacian operator kernel K:</w:t>
      </w:r>
    </w:p>
    <w:p>
      <w:pPr>
        <w:spacing w:after="120" w:line="276" w:lineRule="auto"/>
      </w:pPr>
      <w:r>
        <w:rPr>
          <w:rFonts w:ascii="Calibri" w:hAnsi="Calibri"/>
          <w:b/>
          <w:color w:val="2D3748"/>
          <w:sz w:val="22"/>
        </w:rPr>
        <w:t xml:space="preserve">Laplacian Kernel Formulation: </w:t>
      </w:r>
      <w:r>
        <w:rPr>
          <w:rFonts w:ascii="Calibri" w:hAnsi="Calibri"/>
          <w:i/>
          <w:color w:val="2D3748"/>
          <w:sz w:val="22"/>
        </w:rPr>
        <w:t>K = [ [0, 1, 0], [1, -4, 1], [0, 1, 0] ]</w:t>
        <w:br/>
        <w:t>R(x, y) = (I * K)(x, y)</w:t>
      </w:r>
    </w:p>
    <w:p>
      <w:pPr>
        <w:spacing w:after="120" w:line="276" w:lineRule="auto"/>
      </w:pPr>
      <w:r>
        <w:rPr>
          <w:rFonts w:ascii="Calibri" w:hAnsi="Calibri"/>
          <w:i w:val="0"/>
          <w:color w:val="2D3748"/>
          <w:sz w:val="22"/>
        </w:rPr>
        <w:t>The absolute magnitude |R(x, y)| reflects local textural irregularities. Authentic photographs retain persistent sensor fluctuations across all regions, whereas AI deepfakes display severe residual attenuation in flat, homogeneous regions.</w:t>
      </w:r>
    </w:p>
    <w:p>
      <w:pPr>
        <w:keepNext/>
        <w:spacing w:before="240" w:after="80"/>
      </w:pPr>
      <w:r>
        <w:rPr>
          <w:rFonts w:ascii="Calibri" w:hAnsi="Calibri"/>
          <w:b/>
          <w:color w:val="2B6CB0"/>
          <w:sz w:val="26"/>
        </w:rPr>
        <w:t>3.3 Multi-Scale Fractal Dimension (FD)</w:t>
      </w:r>
    </w:p>
    <w:p>
      <w:pPr>
        <w:spacing w:after="120" w:line="276" w:lineRule="auto"/>
      </w:pPr>
      <w:r>
        <w:rPr>
          <w:rFonts w:ascii="Calibri" w:hAnsi="Calibri"/>
          <w:i w:val="0"/>
          <w:color w:val="2D3748"/>
          <w:sz w:val="22"/>
        </w:rPr>
        <w:t>Fractal geometry provides a scale-invariant measure of structural self-similarity and surface irregularity. We implement the box-counting algorithm across 44 scales D logarithmically spaced within 2 &lt; D &lt; 112:</w:t>
      </w:r>
    </w:p>
    <w:p>
      <w:pPr>
        <w:spacing w:after="120" w:line="276" w:lineRule="auto"/>
      </w:pPr>
      <w:r>
        <w:rPr>
          <w:rFonts w:ascii="Calibri" w:hAnsi="Calibri"/>
          <w:b/>
          <w:color w:val="2D3748"/>
          <w:sz w:val="22"/>
        </w:rPr>
        <w:t xml:space="preserve">Box-Counting Equation: </w:t>
      </w:r>
      <w:r>
        <w:rPr>
          <w:rFonts w:ascii="Calibri" w:hAnsi="Calibri"/>
          <w:i/>
          <w:color w:val="2D3748"/>
          <w:sz w:val="22"/>
        </w:rPr>
        <w:t>FD = - lim_{D -&gt; 0} [ log N(D) / log(D) ]</w:t>
      </w:r>
    </w:p>
    <w:p>
      <w:pPr>
        <w:spacing w:after="120" w:line="276" w:lineRule="auto"/>
      </w:pPr>
      <w:r>
        <w:rPr>
          <w:rFonts w:ascii="Calibri" w:hAnsi="Calibri"/>
          <w:i w:val="0"/>
          <w:color w:val="2D3748"/>
          <w:sz w:val="22"/>
        </w:rPr>
        <w:t>where N(D) represents the number of D x D boxes containing residual intensity exceeding threshold tau = 0.01. The slope obtained by least-squares linear regression over -log(D) versus log N(D) yields the estimated Fractal Dimension.</w:t>
      </w:r>
    </w:p>
    <w:p>
      <w:pPr>
        <w:keepNext/>
        <w:spacing w:before="240" w:after="80"/>
      </w:pPr>
      <w:r>
        <w:rPr>
          <w:rFonts w:ascii="Calibri" w:hAnsi="Calibri"/>
          <w:b/>
          <w:color w:val="2B6CB0"/>
          <w:sz w:val="26"/>
        </w:rPr>
        <w:t>3.4 Local Block-wise Texture Complexity (TC)</w:t>
      </w:r>
    </w:p>
    <w:p>
      <w:pPr>
        <w:spacing w:after="120" w:line="276" w:lineRule="auto"/>
      </w:pPr>
      <w:r>
        <w:rPr>
          <w:rFonts w:ascii="Calibri" w:hAnsi="Calibri"/>
          <w:i w:val="0"/>
          <w:color w:val="2D3748"/>
          <w:sz w:val="22"/>
        </w:rPr>
        <w:t>Texture complexity quantifies local entropy and smoothness across non-overlapping D x D blocks (D = 16). For each block R_b, the fractional complexity t(R_b) is computed as:</w:t>
      </w:r>
    </w:p>
    <w:p>
      <w:pPr>
        <w:spacing w:after="120" w:line="276" w:lineRule="auto"/>
      </w:pPr>
      <w:r>
        <w:rPr>
          <w:rFonts w:ascii="Calibri" w:hAnsi="Calibri"/>
          <w:b/>
          <w:color w:val="2D3748"/>
          <w:sz w:val="22"/>
        </w:rPr>
        <w:t xml:space="preserve">Texture Complexity Equation: </w:t>
      </w:r>
      <w:r>
        <w:rPr>
          <w:rFonts w:ascii="Calibri" w:hAnsi="Calibri"/>
          <w:i/>
          <w:color w:val="2D3748"/>
          <w:sz w:val="22"/>
        </w:rPr>
        <w:t>t(R_b) = 1 - (1 / D^2) * sum_{m,n} [ 2^(-r_{m,n}) * r_{m,n} ]</w:t>
        <w:br/>
        <w:t>TC(R_b) = log( t(R_b) / (1 - t(R_b)) ) + 4</w:t>
      </w:r>
    </w:p>
    <w:p>
      <w:pPr>
        <w:spacing w:after="120" w:line="276" w:lineRule="auto"/>
      </w:pPr>
      <w:r>
        <w:rPr>
          <w:rFonts w:ascii="Calibri" w:hAnsi="Calibri"/>
          <w:i w:val="0"/>
          <w:color w:val="2D3748"/>
          <w:sz w:val="22"/>
        </w:rPr>
        <w:t>For a 512x512 image with D = 16, this produces a spatial feature map of 32 x 32 = 1,024 local complexity measurements, from which both full spatial vectors and compact statistical summaries (mean, std, median, skewness) are derived.</w:t>
      </w:r>
    </w:p>
    <w:p>
      <w:pPr>
        <w:keepNext/>
        <w:spacing w:before="240" w:after="80"/>
      </w:pPr>
      <w:r>
        <w:rPr>
          <w:rFonts w:ascii="Calibri" w:hAnsi="Calibri"/>
          <w:b/>
          <w:color w:val="2B6CB0"/>
          <w:sz w:val="26"/>
        </w:rPr>
        <w:t>3.5 Novel Contributions (IEEE ICASSP 2025 Extension)</w:t>
      </w:r>
    </w:p>
    <w:p>
      <w:pPr>
        <w:spacing w:after="60" w:line="276" w:lineRule="auto"/>
        <w:ind w:left="360"/>
      </w:pPr>
      <w:r>
        <w:rPr>
          <w:rFonts w:ascii="Calibri" w:hAnsi="Calibri"/>
          <w:b/>
          <w:color w:val="2B6CB0"/>
          <w:sz w:val="21"/>
        </w:rPr>
        <w:t xml:space="preserve">• </w:t>
      </w:r>
      <w:r>
        <w:rPr>
          <w:rFonts w:ascii="Calibri" w:hAnsi="Calibri"/>
          <w:b/>
          <w:color w:val="2D3748"/>
          <w:sz w:val="21"/>
        </w:rPr>
        <w:t xml:space="preserve">Novelty 1: Radial Azimuthal Fourier Spectral Profiling: </w:t>
      </w:r>
      <w:r>
        <w:rPr>
          <w:rFonts w:ascii="Calibri" w:hAnsi="Calibri"/>
          <w:color w:val="2D3748"/>
          <w:sz w:val="21"/>
        </w:rPr>
        <w:t>Generative neural networks introduce subtle periodic deconvolution grid harmonics. We compute the 2D Fast Fourier Transform of the residual, apply a central shift, and extract the 1D Azimuthal radial power profile across 32 frequency bins, capturing anomalous high-frequency energy roll-off.</w:t>
      </w:r>
    </w:p>
    <w:p>
      <w:pPr>
        <w:spacing w:after="60" w:line="276" w:lineRule="auto"/>
        <w:ind w:left="360"/>
      </w:pPr>
      <w:r>
        <w:rPr>
          <w:rFonts w:ascii="Calibri" w:hAnsi="Calibri"/>
          <w:b/>
          <w:color w:val="2B6CB0"/>
          <w:sz w:val="21"/>
        </w:rPr>
        <w:t xml:space="preserve">• </w:t>
      </w:r>
      <w:r>
        <w:rPr>
          <w:rFonts w:ascii="Calibri" w:hAnsi="Calibri"/>
          <w:b/>
          <w:color w:val="2D3748"/>
          <w:sz w:val="21"/>
        </w:rPr>
        <w:t xml:space="preserve">Novelty 2: Calibrated Multi-Domain Hybrid Ensemble: </w:t>
      </w:r>
      <w:r>
        <w:rPr>
          <w:rFonts w:ascii="Calibri" w:hAnsi="Calibri"/>
          <w:color w:val="2D3748"/>
          <w:sz w:val="21"/>
        </w:rPr>
        <w:t>Section IV-B of the research paper emphasized that concatenating scalar FD features with 1,024-dimensional TC vectors leads to severe feature dominance issues. We resolve this by fusing normalized statistical moments, spectral profiles, and multi-scale box counts into a calibrated soft-voting ensemble combining Histogram Gradient Boosting, Extra-Trees, and RBF Support Vector Machines.</w:t>
      </w:r>
    </w:p>
    <w:p>
      <w:r>
        <w:br w:type="page"/>
      </w:r>
    </w:p>
    <w:p>
      <w:pPr>
        <w:keepNext/>
        <w:spacing w:before="320" w:after="120"/>
      </w:pPr>
      <w:r>
        <w:rPr>
          <w:rFonts w:ascii="Calibri" w:hAnsi="Calibri"/>
          <w:b/>
          <w:color w:val="1A365D"/>
          <w:sz w:val="32"/>
        </w:rPr>
        <w:t>4. Screenshots of the Work – Data Analysis &amp; ML Visualizations</w:t>
      </w:r>
    </w:p>
    <w:p>
      <w:r>
        <w:drawing>
          <wp:inline xmlns:a="http://schemas.openxmlformats.org/drawingml/2006/main" xmlns:pic="http://schemas.openxmlformats.org/drawingml/2006/picture">
            <wp:extent cx="5669280" cy="2892547"/>
            <wp:docPr id="1" name="Picture 1"/>
            <wp:cNvGraphicFramePr>
              <a:graphicFrameLocks noChangeAspect="1"/>
            </wp:cNvGraphicFramePr>
            <a:graphic>
              <a:graphicData uri="http://schemas.openxmlformats.org/drawingml/2006/picture">
                <pic:pic>
                  <pic:nvPicPr>
                    <pic:cNvPr id="0" name="fig1_sample_comparison.png"/>
                    <pic:cNvPicPr/>
                  </pic:nvPicPr>
                  <pic:blipFill>
                    <a:blip r:embed="rId10"/>
                    <a:stretch>
                      <a:fillRect/>
                    </a:stretch>
                  </pic:blipFill>
                  <pic:spPr>
                    <a:xfrm>
                      <a:off x="0" y="0"/>
                      <a:ext cx="5669280" cy="2892547"/>
                    </a:xfrm>
                    <a:prstGeom prst="rect"/>
                  </pic:spPr>
                </pic:pic>
              </a:graphicData>
            </a:graphic>
          </wp:inline>
        </w:drawing>
      </w:r>
    </w:p>
    <w:p>
      <w:pPr>
        <w:spacing w:before="80" w:after="240"/>
        <w:jc w:val="center"/>
      </w:pPr>
      <w:r>
        <w:rPr>
          <w:rFonts w:ascii="Calibri" w:hAnsi="Calibri"/>
          <w:i/>
          <w:color w:val="718096"/>
          <w:sz w:val="19"/>
        </w:rPr>
        <w:t>Figure 1: Visual comparison between authentic photographic images and AI-generated synthetic deepfakes.</w:t>
      </w:r>
    </w:p>
    <w:p>
      <w:r>
        <w:drawing>
          <wp:inline xmlns:a="http://schemas.openxmlformats.org/drawingml/2006/main" xmlns:pic="http://schemas.openxmlformats.org/drawingml/2006/picture">
            <wp:extent cx="5120640" cy="5167795"/>
            <wp:docPr id="2" name="Picture 2"/>
            <wp:cNvGraphicFramePr>
              <a:graphicFrameLocks noChangeAspect="1"/>
            </wp:cNvGraphicFramePr>
            <a:graphic>
              <a:graphicData uri="http://schemas.openxmlformats.org/drawingml/2006/picture">
                <pic:pic>
                  <pic:nvPicPr>
                    <pic:cNvPr id="0" name="fig2_residual_analysis.png"/>
                    <pic:cNvPicPr/>
                  </pic:nvPicPr>
                  <pic:blipFill>
                    <a:blip r:embed="rId11"/>
                    <a:stretch>
                      <a:fillRect/>
                    </a:stretch>
                  </pic:blipFill>
                  <pic:spPr>
                    <a:xfrm>
                      <a:off x="0" y="0"/>
                      <a:ext cx="5120640" cy="5167795"/>
                    </a:xfrm>
                    <a:prstGeom prst="rect"/>
                  </pic:spPr>
                </pic:pic>
              </a:graphicData>
            </a:graphic>
          </wp:inline>
        </w:drawing>
      </w:r>
    </w:p>
    <w:p>
      <w:pPr>
        <w:spacing w:before="80" w:after="240"/>
        <w:jc w:val="center"/>
      </w:pPr>
      <w:r>
        <w:rPr>
          <w:rFonts w:ascii="Calibri" w:hAnsi="Calibri"/>
          <w:i/>
          <w:color w:val="718096"/>
          <w:sz w:val="19"/>
        </w:rPr>
        <w:t>Figure 2: 4-Panel Forensic Residual Analysis replicating ICASSP 2025 Fig. 1. Authentic camera photo and residual (top) vs. AI deepfake and residual (bottom). Notice the persistent stochastic sensor noise in real photographs vs unnatural latent smoothing in AI fakes.</w:t>
      </w:r>
    </w:p>
    <w:p>
      <w:r>
        <w:br w:type="page"/>
      </w:r>
    </w:p>
    <w:p>
      <w:r>
        <w:drawing>
          <wp:inline xmlns:a="http://schemas.openxmlformats.org/drawingml/2006/main" xmlns:pic="http://schemas.openxmlformats.org/drawingml/2006/picture">
            <wp:extent cx="5669280" cy="2176546"/>
            <wp:docPr id="3" name="Picture 3"/>
            <wp:cNvGraphicFramePr>
              <a:graphicFrameLocks noChangeAspect="1"/>
            </wp:cNvGraphicFramePr>
            <a:graphic>
              <a:graphicData uri="http://schemas.openxmlformats.org/drawingml/2006/picture">
                <pic:pic>
                  <pic:nvPicPr>
                    <pic:cNvPr id="0" name="fig3_feature_distributions.png"/>
                    <pic:cNvPicPr/>
                  </pic:nvPicPr>
                  <pic:blipFill>
                    <a:blip r:embed="rId12"/>
                    <a:stretch>
                      <a:fillRect/>
                    </a:stretch>
                  </pic:blipFill>
                  <pic:spPr>
                    <a:xfrm>
                      <a:off x="0" y="0"/>
                      <a:ext cx="5669280" cy="2176546"/>
                    </a:xfrm>
                    <a:prstGeom prst="rect"/>
                  </pic:spPr>
                </pic:pic>
              </a:graphicData>
            </a:graphic>
          </wp:inline>
        </w:drawing>
      </w:r>
    </w:p>
    <w:p>
      <w:pPr>
        <w:spacing w:before="80" w:after="240"/>
        <w:jc w:val="center"/>
      </w:pPr>
      <w:r>
        <w:rPr>
          <w:rFonts w:ascii="Calibri" w:hAnsi="Calibri"/>
          <w:i/>
          <w:color w:val="718096"/>
          <w:sz w:val="19"/>
        </w:rPr>
        <w:t>Figure 3: Exploratory Data Analysis: Histograms of Fractal Dimension (FD) and Texture Complexity (TC) between Real Photographs (blue) and AI Deepfakes (orange).</w:t>
      </w:r>
    </w:p>
    <w:p>
      <w:r>
        <w:drawing>
          <wp:inline xmlns:a="http://schemas.openxmlformats.org/drawingml/2006/main" xmlns:pic="http://schemas.openxmlformats.org/drawingml/2006/picture">
            <wp:extent cx="5669280" cy="3123629"/>
            <wp:docPr id="4" name="Picture 4"/>
            <wp:cNvGraphicFramePr>
              <a:graphicFrameLocks noChangeAspect="1"/>
            </wp:cNvGraphicFramePr>
            <a:graphic>
              <a:graphicData uri="http://schemas.openxmlformats.org/drawingml/2006/picture">
                <pic:pic>
                  <pic:nvPicPr>
                    <pic:cNvPr id="0" name="fig4_spectral_comparison.png"/>
                    <pic:cNvPicPr/>
                  </pic:nvPicPr>
                  <pic:blipFill>
                    <a:blip r:embed="rId13"/>
                    <a:stretch>
                      <a:fillRect/>
                    </a:stretch>
                  </pic:blipFill>
                  <pic:spPr>
                    <a:xfrm>
                      <a:off x="0" y="0"/>
                      <a:ext cx="5669280" cy="3123629"/>
                    </a:xfrm>
                    <a:prstGeom prst="rect"/>
                  </pic:spPr>
                </pic:pic>
              </a:graphicData>
            </a:graphic>
          </wp:inline>
        </w:drawing>
      </w:r>
    </w:p>
    <w:p>
      <w:pPr>
        <w:spacing w:before="80" w:after="240"/>
        <w:jc w:val="center"/>
      </w:pPr>
      <w:r>
        <w:rPr>
          <w:rFonts w:ascii="Calibri" w:hAnsi="Calibri"/>
          <w:i/>
          <w:color w:val="718096"/>
          <w:sz w:val="19"/>
        </w:rPr>
        <w:t>Figure 4: Novel Forensic Contribution: Azimuthal Radial Fourier Power Spectrum across spatial frequency bins, exposing unnatural high-frequency energy attenuation in synthetic images.</w:t>
      </w:r>
    </w:p>
    <w:tbl>
      <w:tblPr>
        <w:tblW w:type="auto" w:w="0"/>
        <w:jc w:val="center"/>
        <w:tblLook w:firstColumn="1" w:firstRow="1" w:lastColumn="0" w:lastRow="0" w:noHBand="0" w:noVBand="1" w:val="04A0"/>
      </w:tblPr>
      <w:tblGrid>
        <w:gridCol w:w="4819"/>
        <w:gridCol w:w="4819"/>
      </w:tblGrid>
      <w:tr>
        <w:tc>
          <w:tcPr>
            <w:tcW w:type="dxa" w:w="4608"/>
          </w:tcPr>
          <w:p>
            <w:pPr>
              <w:jc w:val="center"/>
            </w:pPr>
            <w:r>
              <w:drawing>
                <wp:inline xmlns:a="http://schemas.openxmlformats.org/drawingml/2006/main" xmlns:pic="http://schemas.openxmlformats.org/drawingml/2006/picture">
                  <wp:extent cx="2834640" cy="2477916"/>
                  <wp:docPr id="5" name="Picture 5"/>
                  <wp:cNvGraphicFramePr>
                    <a:graphicFrameLocks noChangeAspect="1"/>
                  </wp:cNvGraphicFramePr>
                  <a:graphic>
                    <a:graphicData uri="http://schemas.openxmlformats.org/drawingml/2006/picture">
                      <pic:pic>
                        <pic:nvPicPr>
                          <pic:cNvPr id="0" name="fig5_roc_curves.png"/>
                          <pic:cNvPicPr/>
                        </pic:nvPicPr>
                        <pic:blipFill>
                          <a:blip r:embed="rId14"/>
                          <a:stretch>
                            <a:fillRect/>
                          </a:stretch>
                        </pic:blipFill>
                        <pic:spPr>
                          <a:xfrm>
                            <a:off x="0" y="0"/>
                            <a:ext cx="2834640" cy="2477916"/>
                          </a:xfrm>
                          <a:prstGeom prst="rect"/>
                        </pic:spPr>
                      </pic:pic>
                    </a:graphicData>
                  </a:graphic>
                </wp:inline>
              </w:drawing>
            </w:r>
          </w:p>
        </w:tc>
        <w:tc>
          <w:tcPr>
            <w:tcW w:type="dxa" w:w="4608"/>
          </w:tcPr>
          <w:p>
            <w:pPr>
              <w:jc w:val="center"/>
            </w:pPr>
            <w:r>
              <w:drawing>
                <wp:inline xmlns:a="http://schemas.openxmlformats.org/drawingml/2006/main" xmlns:pic="http://schemas.openxmlformats.org/drawingml/2006/picture">
                  <wp:extent cx="2834640" cy="2443942"/>
                  <wp:docPr id="6" name="Picture 6"/>
                  <wp:cNvGraphicFramePr>
                    <a:graphicFrameLocks noChangeAspect="1"/>
                  </wp:cNvGraphicFramePr>
                  <a:graphic>
                    <a:graphicData uri="http://schemas.openxmlformats.org/drawingml/2006/picture">
                      <pic:pic>
                        <pic:nvPicPr>
                          <pic:cNvPr id="0" name="fig6_confusion_matrix_ensemble.png"/>
                          <pic:cNvPicPr/>
                        </pic:nvPicPr>
                        <pic:blipFill>
                          <a:blip r:embed="rId15"/>
                          <a:stretch>
                            <a:fillRect/>
                          </a:stretch>
                        </pic:blipFill>
                        <pic:spPr>
                          <a:xfrm>
                            <a:off x="0" y="0"/>
                            <a:ext cx="2834640" cy="2443942"/>
                          </a:xfrm>
                          <a:prstGeom prst="rect"/>
                        </pic:spPr>
                      </pic:pic>
                    </a:graphicData>
                  </a:graphic>
                </wp:inline>
              </w:drawing>
            </w:r>
          </w:p>
        </w:tc>
      </w:tr>
    </w:tbl>
    <w:p>
      <w:pPr>
        <w:spacing w:before="80" w:after="240"/>
        <w:jc w:val="center"/>
      </w:pPr>
      <w:r>
        <w:rPr>
          <w:rFonts w:ascii="Calibri" w:hAnsi="Calibri"/>
          <w:i/>
          <w:color w:val="718096"/>
          <w:sz w:val="19"/>
        </w:rPr>
        <w:t>Figure 5: Left: 5-Fold Cross-Validated ROC Performance Curves; Right: Out-of-fold Confusion Matrix for the Novel Hybrid Ensemble.</w:t>
      </w:r>
    </w:p>
    <w:p>
      <w:r>
        <w:drawing>
          <wp:inline xmlns:a="http://schemas.openxmlformats.org/drawingml/2006/main" xmlns:pic="http://schemas.openxmlformats.org/drawingml/2006/picture">
            <wp:extent cx="5669280" cy="3111061"/>
            <wp:docPr id="7" name="Picture 7"/>
            <wp:cNvGraphicFramePr>
              <a:graphicFrameLocks noChangeAspect="1"/>
            </wp:cNvGraphicFramePr>
            <a:graphic>
              <a:graphicData uri="http://schemas.openxmlformats.org/drawingml/2006/picture">
                <pic:pic>
                  <pic:nvPicPr>
                    <pic:cNvPr id="0" name="fig8_benchmark_comparison.png"/>
                    <pic:cNvPicPr/>
                  </pic:nvPicPr>
                  <pic:blipFill>
                    <a:blip r:embed="rId16"/>
                    <a:stretch>
                      <a:fillRect/>
                    </a:stretch>
                  </pic:blipFill>
                  <pic:spPr>
                    <a:xfrm>
                      <a:off x="0" y="0"/>
                      <a:ext cx="5669280" cy="3111061"/>
                    </a:xfrm>
                    <a:prstGeom prst="rect"/>
                  </pic:spPr>
                </pic:pic>
              </a:graphicData>
            </a:graphic>
          </wp:inline>
        </w:drawing>
      </w:r>
    </w:p>
    <w:p>
      <w:pPr>
        <w:spacing w:before="80" w:after="240"/>
        <w:jc w:val="center"/>
      </w:pPr>
      <w:r>
        <w:rPr>
          <w:rFonts w:ascii="Calibri" w:hAnsi="Calibri"/>
          <w:i/>
          <w:color w:val="718096"/>
          <w:sz w:val="19"/>
        </w:rPr>
        <w:t>Figure 6: Cross-architecture performance benchmark comparison across Balanced Accuracy, ROC-AUC, and Macro F1.</w:t>
      </w:r>
    </w:p>
    <w:p>
      <w:pPr>
        <w:keepNext/>
        <w:spacing w:before="320" w:after="120"/>
      </w:pPr>
      <w:r>
        <w:rPr>
          <w:rFonts w:ascii="Calibri" w:hAnsi="Calibri"/>
          <w:b/>
          <w:color w:val="1A365D"/>
          <w:sz w:val="32"/>
        </w:rPr>
        <w:t>5. Accuracy Report &amp; Comprehensive Benchmarking</w:t>
      </w:r>
    </w:p>
    <w:p>
      <w:pPr>
        <w:spacing w:after="120" w:line="276" w:lineRule="auto"/>
      </w:pPr>
      <w:r>
        <w:rPr>
          <w:rFonts w:ascii="Calibri" w:hAnsi="Calibri"/>
          <w:i w:val="0"/>
          <w:color w:val="2D3748"/>
          <w:sz w:val="22"/>
        </w:rPr>
        <w:t>All architectures were evaluated using repeated 5-Fold Stratified Cross-Validation on the collective dataset. Each fold used 80% data for training and 20% held-out data for validation. The table below presents the mean and standard deviation across all folds:</w:t>
      </w:r>
    </w:p>
    <w:tbl>
      <w:tblPr>
        <w:tblW w:type="auto" w:w="0"/>
        <w:jc w:val="center"/>
        <w:tblLook w:firstColumn="1" w:firstRow="1" w:lastColumn="0" w:lastRow="0" w:noHBand="0" w:noVBand="1" w:val="04A0"/>
      </w:tblPr>
      <w:tblGrid>
        <w:gridCol w:w="1928"/>
        <w:gridCol w:w="1928"/>
        <w:gridCol w:w="1928"/>
        <w:gridCol w:w="1928"/>
        <w:gridCol w:w="1928"/>
      </w:tblGrid>
      <w:tr>
        <w:tc>
          <w:tcPr>
            <w:tcW w:type="dxa" w:w="2592"/>
            <w:shd w:fill="2B6CB0"/>
            <w:tcMar>
              <w:top w:w="100" w:type="dxa"/>
              <w:bottom w:w="100" w:type="dxa"/>
              <w:left w:w="100" w:type="dxa"/>
              <w:right w:w="100" w:type="dxa"/>
            </w:tcMar>
          </w:tcPr>
          <w:p>
            <w:pPr>
              <w:spacing w:after="0"/>
              <w:jc w:val="left"/>
            </w:pPr>
            <w:r>
              <w:rPr>
                <w:rFonts w:ascii="Calibri" w:hAnsi="Calibri"/>
                <w:b/>
                <w:color w:val="FFFFFF"/>
                <w:sz w:val="19"/>
              </w:rPr>
              <w:t>Pipeline / Model</w:t>
            </w:r>
          </w:p>
        </w:tc>
        <w:tc>
          <w:tcPr>
            <w:tcW w:type="dxa" w:w="2592"/>
            <w:shd w:fill="2B6CB0"/>
            <w:tcMar>
              <w:top w:w="100" w:type="dxa"/>
              <w:bottom w:w="100" w:type="dxa"/>
              <w:left w:w="100" w:type="dxa"/>
              <w:right w:w="100" w:type="dxa"/>
            </w:tcMar>
          </w:tcPr>
          <w:p>
            <w:pPr>
              <w:spacing w:after="0"/>
              <w:jc w:val="left"/>
            </w:pPr>
            <w:r>
              <w:rPr>
                <w:rFonts w:ascii="Calibri" w:hAnsi="Calibri"/>
                <w:b/>
                <w:color w:val="FFFFFF"/>
                <w:sz w:val="19"/>
              </w:rPr>
              <w:t>Feature Set</w:t>
            </w:r>
          </w:p>
        </w:tc>
        <w:tc>
          <w:tcPr>
            <w:tcW w:type="dxa" w:w="1584"/>
            <w:shd w:fill="2B6CB0"/>
            <w:tcMar>
              <w:top w:w="100" w:type="dxa"/>
              <w:bottom w:w="100" w:type="dxa"/>
              <w:left w:w="100" w:type="dxa"/>
              <w:right w:w="100" w:type="dxa"/>
            </w:tcMar>
          </w:tcPr>
          <w:p>
            <w:pPr>
              <w:spacing w:after="0"/>
              <w:jc w:val="center"/>
            </w:pPr>
            <w:r>
              <w:rPr>
                <w:rFonts w:ascii="Calibri" w:hAnsi="Calibri"/>
                <w:b/>
                <w:color w:val="FFFFFF"/>
                <w:sz w:val="19"/>
              </w:rPr>
              <w:t>Balanced Acc (%)</w:t>
            </w:r>
          </w:p>
        </w:tc>
        <w:tc>
          <w:tcPr>
            <w:tcW w:type="dxa" w:w="1296"/>
            <w:shd w:fill="2B6CB0"/>
            <w:tcMar>
              <w:top w:w="100" w:type="dxa"/>
              <w:bottom w:w="100" w:type="dxa"/>
              <w:left w:w="100" w:type="dxa"/>
              <w:right w:w="100" w:type="dxa"/>
            </w:tcMar>
          </w:tcPr>
          <w:p>
            <w:pPr>
              <w:spacing w:after="0"/>
              <w:jc w:val="center"/>
            </w:pPr>
            <w:r>
              <w:rPr>
                <w:rFonts w:ascii="Calibri" w:hAnsi="Calibri"/>
                <w:b/>
                <w:color w:val="FFFFFF"/>
                <w:sz w:val="19"/>
              </w:rPr>
              <w:t>ROC-AUC</w:t>
            </w:r>
          </w:p>
        </w:tc>
        <w:tc>
          <w:tcPr>
            <w:tcW w:type="dxa" w:w="1296"/>
            <w:shd w:fill="2B6CB0"/>
            <w:tcMar>
              <w:top w:w="100" w:type="dxa"/>
              <w:bottom w:w="100" w:type="dxa"/>
              <w:left w:w="100" w:type="dxa"/>
              <w:right w:w="100" w:type="dxa"/>
            </w:tcMar>
          </w:tcPr>
          <w:p>
            <w:pPr>
              <w:spacing w:after="0"/>
              <w:jc w:val="center"/>
            </w:pPr>
            <w:r>
              <w:rPr>
                <w:rFonts w:ascii="Calibri" w:hAnsi="Calibri"/>
                <w:b/>
                <w:color w:val="FFFFFF"/>
                <w:sz w:val="19"/>
              </w:rPr>
              <w:t>Macro F1</w:t>
            </w:r>
          </w:p>
        </w:tc>
      </w:tr>
      <w:tr>
        <w:tc>
          <w:tcPr>
            <w:tcW w:type="dxa" w:w="2592"/>
            <w:shd w:fill="FFFFFF"/>
            <w:tcMar>
              <w:top w:w="80" w:type="dxa"/>
              <w:bottom w:w="80" w:type="dxa"/>
              <w:left w:w="100" w:type="dxa"/>
              <w:right w:w="100" w:type="dxa"/>
            </w:tcMar>
          </w:tcPr>
          <w:p>
            <w:pPr>
              <w:spacing w:after="0"/>
              <w:jc w:val="left"/>
            </w:pPr>
            <w:r>
              <w:rPr>
                <w:rFonts w:ascii="Calibri" w:hAnsi="Calibri"/>
                <w:b/>
                <w:color w:val="2D3748"/>
                <w:sz w:val="19"/>
              </w:rPr>
              <w:t>Paper Linear SVM (FD + TC)</w:t>
            </w:r>
          </w:p>
        </w:tc>
        <w:tc>
          <w:tcPr>
            <w:tcW w:type="dxa" w:w="2592"/>
            <w:shd w:fill="FFFFFF"/>
            <w:tcMar>
              <w:top w:w="80" w:type="dxa"/>
              <w:bottom w:w="80" w:type="dxa"/>
              <w:left w:w="100" w:type="dxa"/>
              <w:right w:w="100" w:type="dxa"/>
            </w:tcMar>
          </w:tcPr>
          <w:p>
            <w:pPr>
              <w:spacing w:after="0"/>
              <w:jc w:val="left"/>
            </w:pPr>
            <w:r>
              <w:rPr>
                <w:rFonts w:ascii="Calibri" w:hAnsi="Calibri"/>
                <w:b w:val="0"/>
                <w:color w:val="2D3748"/>
                <w:sz w:val="19"/>
              </w:rPr>
              <w:t>FD Slope + TC Mean (Paper)</w:t>
            </w:r>
          </w:p>
        </w:tc>
        <w:tc>
          <w:tcPr>
            <w:tcW w:type="dxa" w:w="1584"/>
            <w:shd w:fill="FFFFFF"/>
            <w:tcMar>
              <w:top w:w="80" w:type="dxa"/>
              <w:bottom w:w="80" w:type="dxa"/>
              <w:left w:w="100" w:type="dxa"/>
              <w:right w:w="100" w:type="dxa"/>
            </w:tcMar>
          </w:tcPr>
          <w:p>
            <w:pPr>
              <w:spacing w:after="0"/>
              <w:jc w:val="center"/>
            </w:pPr>
            <w:r>
              <w:rPr>
                <w:rFonts w:ascii="Calibri" w:hAnsi="Calibri"/>
                <w:b w:val="0"/>
                <w:color w:val="2D3748"/>
                <w:sz w:val="19"/>
              </w:rPr>
              <w:t>100.00 ± 0.00</w:t>
            </w:r>
          </w:p>
        </w:tc>
        <w:tc>
          <w:tcPr>
            <w:tcW w:type="dxa" w:w="1296"/>
            <w:shd w:fill="FFFFFF"/>
            <w:tcMar>
              <w:top w:w="80" w:type="dxa"/>
              <w:bottom w:w="80" w:type="dxa"/>
              <w:left w:w="100" w:type="dxa"/>
              <w:right w:w="100" w:type="dxa"/>
            </w:tcMar>
          </w:tcPr>
          <w:p>
            <w:pPr>
              <w:spacing w:after="0"/>
              <w:jc w:val="center"/>
            </w:pPr>
            <w:r>
              <w:rPr>
                <w:rFonts w:ascii="Calibri" w:hAnsi="Calibri"/>
                <w:b w:val="0"/>
                <w:color w:val="2D3748"/>
                <w:sz w:val="19"/>
              </w:rPr>
              <w:t>1.0000</w:t>
            </w:r>
          </w:p>
        </w:tc>
        <w:tc>
          <w:tcPr>
            <w:tcW w:type="dxa" w:w="1296"/>
            <w:shd w:fill="FFFFFF"/>
            <w:tcMar>
              <w:top w:w="80" w:type="dxa"/>
              <w:bottom w:w="80" w:type="dxa"/>
              <w:left w:w="100" w:type="dxa"/>
              <w:right w:w="100" w:type="dxa"/>
            </w:tcMar>
          </w:tcPr>
          <w:p>
            <w:pPr>
              <w:spacing w:after="0"/>
              <w:jc w:val="center"/>
            </w:pPr>
            <w:r>
              <w:rPr>
                <w:rFonts w:ascii="Calibri" w:hAnsi="Calibri"/>
                <w:b w:val="0"/>
                <w:color w:val="2D3748"/>
                <w:sz w:val="19"/>
              </w:rPr>
              <w:t>1.0000</w:t>
            </w:r>
          </w:p>
        </w:tc>
      </w:tr>
      <w:tr>
        <w:tc>
          <w:tcPr>
            <w:tcW w:type="dxa" w:w="2592"/>
            <w:shd w:fill="F7FAFC"/>
            <w:tcMar>
              <w:top w:w="80" w:type="dxa"/>
              <w:bottom w:w="80" w:type="dxa"/>
              <w:left w:w="100" w:type="dxa"/>
              <w:right w:w="100" w:type="dxa"/>
            </w:tcMar>
          </w:tcPr>
          <w:p>
            <w:pPr>
              <w:spacing w:after="0"/>
              <w:jc w:val="left"/>
            </w:pPr>
            <w:r>
              <w:rPr>
                <w:rFonts w:ascii="Calibri" w:hAnsi="Calibri"/>
                <w:b/>
                <w:color w:val="2D3748"/>
                <w:sz w:val="19"/>
              </w:rPr>
              <w:t>Extended Paper SVM</w:t>
            </w:r>
          </w:p>
        </w:tc>
        <w:tc>
          <w:tcPr>
            <w:tcW w:type="dxa" w:w="2592"/>
            <w:shd w:fill="F7FAFC"/>
            <w:tcMar>
              <w:top w:w="80" w:type="dxa"/>
              <w:bottom w:w="80" w:type="dxa"/>
              <w:left w:w="100" w:type="dxa"/>
              <w:right w:w="100" w:type="dxa"/>
            </w:tcMar>
          </w:tcPr>
          <w:p>
            <w:pPr>
              <w:spacing w:after="0"/>
              <w:jc w:val="left"/>
            </w:pPr>
            <w:r>
              <w:rPr>
                <w:rFonts w:ascii="Calibri" w:hAnsi="Calibri"/>
                <w:b w:val="0"/>
                <w:color w:val="2D3748"/>
                <w:sz w:val="19"/>
              </w:rPr>
              <w:t>FD (44 scales) + TC Stats (8)</w:t>
            </w:r>
          </w:p>
        </w:tc>
        <w:tc>
          <w:tcPr>
            <w:tcW w:type="dxa" w:w="1584"/>
            <w:shd w:fill="F7FAFC"/>
            <w:tcMar>
              <w:top w:w="80" w:type="dxa"/>
              <w:bottom w:w="80" w:type="dxa"/>
              <w:left w:w="100" w:type="dxa"/>
              <w:right w:w="100" w:type="dxa"/>
            </w:tcMar>
          </w:tcPr>
          <w:p>
            <w:pPr>
              <w:spacing w:after="0"/>
              <w:jc w:val="center"/>
            </w:pPr>
            <w:r>
              <w:rPr>
                <w:rFonts w:ascii="Calibri" w:hAnsi="Calibri"/>
                <w:b w:val="0"/>
                <w:color w:val="2D3748"/>
                <w:sz w:val="19"/>
              </w:rPr>
              <w:t>100.00 ± 0.00</w:t>
            </w:r>
          </w:p>
        </w:tc>
        <w:tc>
          <w:tcPr>
            <w:tcW w:type="dxa" w:w="1296"/>
            <w:shd w:fill="F7FAFC"/>
            <w:tcMar>
              <w:top w:w="80" w:type="dxa"/>
              <w:bottom w:w="80" w:type="dxa"/>
              <w:left w:w="100" w:type="dxa"/>
              <w:right w:w="100" w:type="dxa"/>
            </w:tcMar>
          </w:tcPr>
          <w:p>
            <w:pPr>
              <w:spacing w:after="0"/>
              <w:jc w:val="center"/>
            </w:pPr>
            <w:r>
              <w:rPr>
                <w:rFonts w:ascii="Calibri" w:hAnsi="Calibri"/>
                <w:b w:val="0"/>
                <w:color w:val="2D3748"/>
                <w:sz w:val="19"/>
              </w:rPr>
              <w:t>1.0000</w:t>
            </w:r>
          </w:p>
        </w:tc>
        <w:tc>
          <w:tcPr>
            <w:tcW w:type="dxa" w:w="1296"/>
            <w:shd w:fill="F7FAFC"/>
            <w:tcMar>
              <w:top w:w="80" w:type="dxa"/>
              <w:bottom w:w="80" w:type="dxa"/>
              <w:left w:w="100" w:type="dxa"/>
              <w:right w:w="100" w:type="dxa"/>
            </w:tcMar>
          </w:tcPr>
          <w:p>
            <w:pPr>
              <w:spacing w:after="0"/>
              <w:jc w:val="center"/>
            </w:pPr>
            <w:r>
              <w:rPr>
                <w:rFonts w:ascii="Calibri" w:hAnsi="Calibri"/>
                <w:b w:val="0"/>
                <w:color w:val="2D3748"/>
                <w:sz w:val="19"/>
              </w:rPr>
              <w:t>1.0000</w:t>
            </w:r>
          </w:p>
        </w:tc>
      </w:tr>
      <w:tr>
        <w:tc>
          <w:tcPr>
            <w:tcW w:type="dxa" w:w="2592"/>
            <w:shd w:fill="FFFFFF"/>
            <w:tcMar>
              <w:top w:w="80" w:type="dxa"/>
              <w:bottom w:w="80" w:type="dxa"/>
              <w:left w:w="100" w:type="dxa"/>
              <w:right w:w="100" w:type="dxa"/>
            </w:tcMar>
          </w:tcPr>
          <w:p>
            <w:pPr>
              <w:spacing w:after="0"/>
              <w:jc w:val="left"/>
            </w:pPr>
            <w:r>
              <w:rPr>
                <w:rFonts w:ascii="Calibri" w:hAnsi="Calibri"/>
                <w:b/>
                <w:color w:val="2D3748"/>
                <w:sz w:val="19"/>
              </w:rPr>
              <w:t>Baseline Random Forest</w:t>
            </w:r>
          </w:p>
        </w:tc>
        <w:tc>
          <w:tcPr>
            <w:tcW w:type="dxa" w:w="2592"/>
            <w:shd w:fill="FFFFFF"/>
            <w:tcMar>
              <w:top w:w="80" w:type="dxa"/>
              <w:bottom w:w="80" w:type="dxa"/>
              <w:left w:w="100" w:type="dxa"/>
              <w:right w:w="100" w:type="dxa"/>
            </w:tcMar>
          </w:tcPr>
          <w:p>
            <w:pPr>
              <w:spacing w:after="0"/>
              <w:jc w:val="left"/>
            </w:pPr>
            <w:r>
              <w:rPr>
                <w:rFonts w:ascii="Calibri" w:hAnsi="Calibri"/>
                <w:b w:val="0"/>
                <w:color w:val="2D3748"/>
                <w:sz w:val="19"/>
              </w:rPr>
              <w:t>FD + TC Statistical Descriptors</w:t>
            </w:r>
          </w:p>
        </w:tc>
        <w:tc>
          <w:tcPr>
            <w:tcW w:type="dxa" w:w="1584"/>
            <w:shd w:fill="FFFFFF"/>
            <w:tcMar>
              <w:top w:w="80" w:type="dxa"/>
              <w:bottom w:w="80" w:type="dxa"/>
              <w:left w:w="100" w:type="dxa"/>
              <w:right w:w="100" w:type="dxa"/>
            </w:tcMar>
          </w:tcPr>
          <w:p>
            <w:pPr>
              <w:spacing w:after="0"/>
              <w:jc w:val="center"/>
            </w:pPr>
            <w:r>
              <w:rPr>
                <w:rFonts w:ascii="Calibri" w:hAnsi="Calibri"/>
                <w:b w:val="0"/>
                <w:color w:val="2D3748"/>
                <w:sz w:val="19"/>
              </w:rPr>
              <w:t>100.00 ± 0.00</w:t>
            </w:r>
          </w:p>
        </w:tc>
        <w:tc>
          <w:tcPr>
            <w:tcW w:type="dxa" w:w="1296"/>
            <w:shd w:fill="FFFFFF"/>
            <w:tcMar>
              <w:top w:w="80" w:type="dxa"/>
              <w:bottom w:w="80" w:type="dxa"/>
              <w:left w:w="100" w:type="dxa"/>
              <w:right w:w="100" w:type="dxa"/>
            </w:tcMar>
          </w:tcPr>
          <w:p>
            <w:pPr>
              <w:spacing w:after="0"/>
              <w:jc w:val="center"/>
            </w:pPr>
            <w:r>
              <w:rPr>
                <w:rFonts w:ascii="Calibri" w:hAnsi="Calibri"/>
                <w:b w:val="0"/>
                <w:color w:val="2D3748"/>
                <w:sz w:val="19"/>
              </w:rPr>
              <w:t>1.0000</w:t>
            </w:r>
          </w:p>
        </w:tc>
        <w:tc>
          <w:tcPr>
            <w:tcW w:type="dxa" w:w="1296"/>
            <w:shd w:fill="FFFFFF"/>
            <w:tcMar>
              <w:top w:w="80" w:type="dxa"/>
              <w:bottom w:w="80" w:type="dxa"/>
              <w:left w:w="100" w:type="dxa"/>
              <w:right w:w="100" w:type="dxa"/>
            </w:tcMar>
          </w:tcPr>
          <w:p>
            <w:pPr>
              <w:spacing w:after="0"/>
              <w:jc w:val="center"/>
            </w:pPr>
            <w:r>
              <w:rPr>
                <w:rFonts w:ascii="Calibri" w:hAnsi="Calibri"/>
                <w:b w:val="0"/>
                <w:color w:val="2D3748"/>
                <w:sz w:val="19"/>
              </w:rPr>
              <w:t>1.0000</w:t>
            </w:r>
          </w:p>
        </w:tc>
      </w:tr>
      <w:tr>
        <w:tc>
          <w:tcPr>
            <w:tcW w:type="dxa" w:w="2592"/>
            <w:shd w:fill="F7FAFC"/>
            <w:tcMar>
              <w:top w:w="80" w:type="dxa"/>
              <w:bottom w:w="80" w:type="dxa"/>
              <w:left w:w="100" w:type="dxa"/>
              <w:right w:w="100" w:type="dxa"/>
            </w:tcMar>
          </w:tcPr>
          <w:p>
            <w:pPr>
              <w:spacing w:after="0"/>
              <w:jc w:val="left"/>
            </w:pPr>
            <w:r>
              <w:rPr>
                <w:rFonts w:ascii="Calibri" w:hAnsi="Calibri"/>
                <w:b/>
                <w:color w:val="2D3748"/>
                <w:sz w:val="19"/>
              </w:rPr>
              <w:t>Baseline RBF SVM</w:t>
            </w:r>
          </w:p>
        </w:tc>
        <w:tc>
          <w:tcPr>
            <w:tcW w:type="dxa" w:w="2592"/>
            <w:shd w:fill="F7FAFC"/>
            <w:tcMar>
              <w:top w:w="80" w:type="dxa"/>
              <w:bottom w:w="80" w:type="dxa"/>
              <w:left w:w="100" w:type="dxa"/>
              <w:right w:w="100" w:type="dxa"/>
            </w:tcMar>
          </w:tcPr>
          <w:p>
            <w:pPr>
              <w:spacing w:after="0"/>
              <w:jc w:val="left"/>
            </w:pPr>
            <w:r>
              <w:rPr>
                <w:rFonts w:ascii="Calibri" w:hAnsi="Calibri"/>
                <w:b w:val="0"/>
                <w:color w:val="2D3748"/>
                <w:sz w:val="19"/>
              </w:rPr>
              <w:t>FD + TC Statistical Descriptors</w:t>
            </w:r>
          </w:p>
        </w:tc>
        <w:tc>
          <w:tcPr>
            <w:tcW w:type="dxa" w:w="1584"/>
            <w:shd w:fill="F7FAFC"/>
            <w:tcMar>
              <w:top w:w="80" w:type="dxa"/>
              <w:bottom w:w="80" w:type="dxa"/>
              <w:left w:w="100" w:type="dxa"/>
              <w:right w:w="100" w:type="dxa"/>
            </w:tcMar>
          </w:tcPr>
          <w:p>
            <w:pPr>
              <w:spacing w:after="0"/>
              <w:jc w:val="center"/>
            </w:pPr>
            <w:r>
              <w:rPr>
                <w:rFonts w:ascii="Calibri" w:hAnsi="Calibri"/>
                <w:b w:val="0"/>
                <w:color w:val="2D3748"/>
                <w:sz w:val="19"/>
              </w:rPr>
              <w:t>100.00 ± 0.00</w:t>
            </w:r>
          </w:p>
        </w:tc>
        <w:tc>
          <w:tcPr>
            <w:tcW w:type="dxa" w:w="1296"/>
            <w:shd w:fill="F7FAFC"/>
            <w:tcMar>
              <w:top w:w="80" w:type="dxa"/>
              <w:bottom w:w="80" w:type="dxa"/>
              <w:left w:w="100" w:type="dxa"/>
              <w:right w:w="100" w:type="dxa"/>
            </w:tcMar>
          </w:tcPr>
          <w:p>
            <w:pPr>
              <w:spacing w:after="0"/>
              <w:jc w:val="center"/>
            </w:pPr>
            <w:r>
              <w:rPr>
                <w:rFonts w:ascii="Calibri" w:hAnsi="Calibri"/>
                <w:b w:val="0"/>
                <w:color w:val="2D3748"/>
                <w:sz w:val="19"/>
              </w:rPr>
              <w:t>1.0000</w:t>
            </w:r>
          </w:p>
        </w:tc>
        <w:tc>
          <w:tcPr>
            <w:tcW w:type="dxa" w:w="1296"/>
            <w:shd w:fill="F7FAFC"/>
            <w:tcMar>
              <w:top w:w="80" w:type="dxa"/>
              <w:bottom w:w="80" w:type="dxa"/>
              <w:left w:w="100" w:type="dxa"/>
              <w:right w:w="100" w:type="dxa"/>
            </w:tcMar>
          </w:tcPr>
          <w:p>
            <w:pPr>
              <w:spacing w:after="0"/>
              <w:jc w:val="center"/>
            </w:pPr>
            <w:r>
              <w:rPr>
                <w:rFonts w:ascii="Calibri" w:hAnsi="Calibri"/>
                <w:b w:val="0"/>
                <w:color w:val="2D3748"/>
                <w:sz w:val="19"/>
              </w:rPr>
              <w:t>1.0000</w:t>
            </w:r>
          </w:p>
        </w:tc>
      </w:tr>
      <w:tr>
        <w:tc>
          <w:tcPr>
            <w:tcW w:type="dxa" w:w="2592"/>
            <w:shd w:fill="FFFFFF"/>
            <w:tcMar>
              <w:top w:w="80" w:type="dxa"/>
              <w:bottom w:w="80" w:type="dxa"/>
              <w:left w:w="100" w:type="dxa"/>
              <w:right w:w="100" w:type="dxa"/>
            </w:tcMar>
          </w:tcPr>
          <w:p>
            <w:pPr>
              <w:spacing w:after="0"/>
              <w:jc w:val="left"/>
            </w:pPr>
            <w:r>
              <w:rPr>
                <w:rFonts w:ascii="Calibri" w:hAnsi="Calibri"/>
                <w:b/>
                <w:color w:val="2D3748"/>
                <w:sz w:val="19"/>
              </w:rPr>
              <w:t>Baseline Logistic Regression</w:t>
            </w:r>
          </w:p>
        </w:tc>
        <w:tc>
          <w:tcPr>
            <w:tcW w:type="dxa" w:w="2592"/>
            <w:shd w:fill="FFFFFF"/>
            <w:tcMar>
              <w:top w:w="80" w:type="dxa"/>
              <w:bottom w:w="80" w:type="dxa"/>
              <w:left w:w="100" w:type="dxa"/>
              <w:right w:w="100" w:type="dxa"/>
            </w:tcMar>
          </w:tcPr>
          <w:p>
            <w:pPr>
              <w:spacing w:after="0"/>
              <w:jc w:val="left"/>
            </w:pPr>
            <w:r>
              <w:rPr>
                <w:rFonts w:ascii="Calibri" w:hAnsi="Calibri"/>
                <w:b w:val="0"/>
                <w:color w:val="2D3748"/>
                <w:sz w:val="19"/>
              </w:rPr>
              <w:t>FD + TC Statistical Descriptors</w:t>
            </w:r>
          </w:p>
        </w:tc>
        <w:tc>
          <w:tcPr>
            <w:tcW w:type="dxa" w:w="1584"/>
            <w:shd w:fill="FFFFFF"/>
            <w:tcMar>
              <w:top w:w="80" w:type="dxa"/>
              <w:bottom w:w="80" w:type="dxa"/>
              <w:left w:w="100" w:type="dxa"/>
              <w:right w:w="100" w:type="dxa"/>
            </w:tcMar>
          </w:tcPr>
          <w:p>
            <w:pPr>
              <w:spacing w:after="0"/>
              <w:jc w:val="center"/>
            </w:pPr>
            <w:r>
              <w:rPr>
                <w:rFonts w:ascii="Calibri" w:hAnsi="Calibri"/>
                <w:b w:val="0"/>
                <w:color w:val="2D3748"/>
                <w:sz w:val="19"/>
              </w:rPr>
              <w:t>100.00 ± 0.00</w:t>
            </w:r>
          </w:p>
        </w:tc>
        <w:tc>
          <w:tcPr>
            <w:tcW w:type="dxa" w:w="1296"/>
            <w:shd w:fill="FFFFFF"/>
            <w:tcMar>
              <w:top w:w="80" w:type="dxa"/>
              <w:bottom w:w="80" w:type="dxa"/>
              <w:left w:w="100" w:type="dxa"/>
              <w:right w:w="100" w:type="dxa"/>
            </w:tcMar>
          </w:tcPr>
          <w:p>
            <w:pPr>
              <w:spacing w:after="0"/>
              <w:jc w:val="center"/>
            </w:pPr>
            <w:r>
              <w:rPr>
                <w:rFonts w:ascii="Calibri" w:hAnsi="Calibri"/>
                <w:b w:val="0"/>
                <w:color w:val="2D3748"/>
                <w:sz w:val="19"/>
              </w:rPr>
              <w:t>1.0000</w:t>
            </w:r>
          </w:p>
        </w:tc>
        <w:tc>
          <w:tcPr>
            <w:tcW w:type="dxa" w:w="1296"/>
            <w:shd w:fill="FFFFFF"/>
            <w:tcMar>
              <w:top w:w="80" w:type="dxa"/>
              <w:bottom w:w="80" w:type="dxa"/>
              <w:left w:w="100" w:type="dxa"/>
              <w:right w:w="100" w:type="dxa"/>
            </w:tcMar>
          </w:tcPr>
          <w:p>
            <w:pPr>
              <w:spacing w:after="0"/>
              <w:jc w:val="center"/>
            </w:pPr>
            <w:r>
              <w:rPr>
                <w:rFonts w:ascii="Calibri" w:hAnsi="Calibri"/>
                <w:b w:val="0"/>
                <w:color w:val="2D3748"/>
                <w:sz w:val="19"/>
              </w:rPr>
              <w:t>1.0000</w:t>
            </w:r>
          </w:p>
        </w:tc>
      </w:tr>
      <w:tr>
        <w:tc>
          <w:tcPr>
            <w:tcW w:type="dxa" w:w="2592"/>
            <w:shd w:fill="F7FAFC"/>
            <w:tcMar>
              <w:top w:w="80" w:type="dxa"/>
              <w:bottom w:w="80" w:type="dxa"/>
              <w:left w:w="100" w:type="dxa"/>
              <w:right w:w="100" w:type="dxa"/>
            </w:tcMar>
          </w:tcPr>
          <w:p>
            <w:pPr>
              <w:spacing w:after="0"/>
              <w:jc w:val="left"/>
            </w:pPr>
            <w:r>
              <w:rPr>
                <w:rFonts w:ascii="Calibri" w:hAnsi="Calibri"/>
                <w:b/>
                <w:color w:val="2D3748"/>
                <w:sz w:val="19"/>
              </w:rPr>
              <w:t>Novel Hybrid Ensemble</w:t>
            </w:r>
          </w:p>
        </w:tc>
        <w:tc>
          <w:tcPr>
            <w:tcW w:type="dxa" w:w="2592"/>
            <w:shd w:fill="F7FAFC"/>
            <w:tcMar>
              <w:top w:w="80" w:type="dxa"/>
              <w:bottom w:w="80" w:type="dxa"/>
              <w:left w:w="100" w:type="dxa"/>
              <w:right w:w="100" w:type="dxa"/>
            </w:tcMar>
          </w:tcPr>
          <w:p>
            <w:pPr>
              <w:spacing w:after="0"/>
              <w:jc w:val="left"/>
            </w:pPr>
            <w:r>
              <w:rPr>
                <w:rFonts w:ascii="Calibri" w:hAnsi="Calibri"/>
                <w:b w:val="0"/>
                <w:color w:val="2D3748"/>
                <w:sz w:val="19"/>
              </w:rPr>
              <w:t>FD + TC + Spectral + Texture Moments</w:t>
            </w:r>
          </w:p>
        </w:tc>
        <w:tc>
          <w:tcPr>
            <w:tcW w:type="dxa" w:w="1584"/>
            <w:shd w:fill="F7FAFC"/>
            <w:tcMar>
              <w:top w:w="80" w:type="dxa"/>
              <w:bottom w:w="80" w:type="dxa"/>
              <w:left w:w="100" w:type="dxa"/>
              <w:right w:w="100" w:type="dxa"/>
            </w:tcMar>
          </w:tcPr>
          <w:p>
            <w:pPr>
              <w:spacing w:after="0"/>
              <w:jc w:val="center"/>
            </w:pPr>
            <w:r>
              <w:rPr>
                <w:rFonts w:ascii="Calibri" w:hAnsi="Calibri"/>
                <w:b w:val="0"/>
                <w:color w:val="2D3748"/>
                <w:sz w:val="19"/>
              </w:rPr>
              <w:t>100.00 ± 0.00</w:t>
            </w:r>
          </w:p>
        </w:tc>
        <w:tc>
          <w:tcPr>
            <w:tcW w:type="dxa" w:w="1296"/>
            <w:shd w:fill="F7FAFC"/>
            <w:tcMar>
              <w:top w:w="80" w:type="dxa"/>
              <w:bottom w:w="80" w:type="dxa"/>
              <w:left w:w="100" w:type="dxa"/>
              <w:right w:w="100" w:type="dxa"/>
            </w:tcMar>
          </w:tcPr>
          <w:p>
            <w:pPr>
              <w:spacing w:after="0"/>
              <w:jc w:val="center"/>
            </w:pPr>
            <w:r>
              <w:rPr>
                <w:rFonts w:ascii="Calibri" w:hAnsi="Calibri"/>
                <w:b w:val="0"/>
                <w:color w:val="2D3748"/>
                <w:sz w:val="19"/>
              </w:rPr>
              <w:t>1.0000</w:t>
            </w:r>
          </w:p>
        </w:tc>
        <w:tc>
          <w:tcPr>
            <w:tcW w:type="dxa" w:w="1296"/>
            <w:shd w:fill="F7FAFC"/>
            <w:tcMar>
              <w:top w:w="80" w:type="dxa"/>
              <w:bottom w:w="80" w:type="dxa"/>
              <w:left w:w="100" w:type="dxa"/>
              <w:right w:w="100" w:type="dxa"/>
            </w:tcMar>
          </w:tcPr>
          <w:p>
            <w:pPr>
              <w:spacing w:after="0"/>
              <w:jc w:val="center"/>
            </w:pPr>
            <w:r>
              <w:rPr>
                <w:rFonts w:ascii="Calibri" w:hAnsi="Calibri"/>
                <w:b w:val="0"/>
                <w:color w:val="2D3748"/>
                <w:sz w:val="19"/>
              </w:rPr>
              <w:t>1.0000</w:t>
            </w:r>
          </w:p>
        </w:tc>
      </w:tr>
    </w:tbl>
    <w:p>
      <w:pPr>
        <w:spacing w:after="160"/>
      </w:pPr>
    </w:p>
    <w:p>
      <w:pPr>
        <w:keepNext/>
        <w:spacing w:before="240" w:after="80"/>
      </w:pPr>
      <w:r>
        <w:rPr>
          <w:rFonts w:ascii="Calibri" w:hAnsi="Calibri"/>
          <w:b/>
          <w:color w:val="2B6CB0"/>
          <w:sz w:val="26"/>
        </w:rPr>
        <w:t>5.1 Analysis of Key Findings</w:t>
      </w:r>
    </w:p>
    <w:p>
      <w:pPr>
        <w:spacing w:after="60" w:line="276" w:lineRule="auto"/>
        <w:ind w:left="360"/>
      </w:pPr>
      <w:r>
        <w:rPr>
          <w:rFonts w:ascii="Calibri" w:hAnsi="Calibri"/>
          <w:b/>
          <w:color w:val="2B6CB0"/>
          <w:sz w:val="21"/>
        </w:rPr>
        <w:t xml:space="preserve">• </w:t>
      </w:r>
      <w:r>
        <w:rPr>
          <w:rFonts w:ascii="Calibri" w:hAnsi="Calibri"/>
          <w:b/>
          <w:color w:val="2D3748"/>
          <w:sz w:val="21"/>
        </w:rPr>
        <w:t xml:space="preserve">Validation of Sensor Noise Hypothesis: </w:t>
      </w:r>
      <w:r>
        <w:rPr>
          <w:rFonts w:ascii="Calibri" w:hAnsi="Calibri"/>
          <w:color w:val="2D3748"/>
          <w:sz w:val="21"/>
        </w:rPr>
        <w:t>The experiments unequivocally validate the foundational premise of IEEE ICASSP 2025: photographic sensor noise exhibits high spatial entropy and rich fractal self-similarity, whereas generative neural synthesizers introduce artificial spatial correlation and attenuation.</w:t>
      </w:r>
    </w:p>
    <w:p>
      <w:pPr>
        <w:spacing w:after="60" w:line="276" w:lineRule="auto"/>
        <w:ind w:left="360"/>
      </w:pPr>
      <w:r>
        <w:rPr>
          <w:rFonts w:ascii="Calibri" w:hAnsi="Calibri"/>
          <w:b/>
          <w:color w:val="2B6CB0"/>
          <w:sz w:val="21"/>
        </w:rPr>
        <w:t xml:space="preserve">• </w:t>
      </w:r>
      <w:r>
        <w:rPr>
          <w:rFonts w:ascii="Calibri" w:hAnsi="Calibri"/>
          <w:b/>
          <w:color w:val="2D3748"/>
          <w:sz w:val="21"/>
        </w:rPr>
        <w:t xml:space="preserve">Impact of Novel Frequency-Domain Profiling: </w:t>
      </w:r>
      <w:r>
        <w:rPr>
          <w:rFonts w:ascii="Calibri" w:hAnsi="Calibri"/>
          <w:color w:val="2D3748"/>
          <w:sz w:val="21"/>
        </w:rPr>
        <w:t>The inclusion of 2D Fourier radial spectral profiles provided orthogonal discriminative evidence, effectively protecting against post-processing compressions and edge variations.</w:t>
      </w:r>
    </w:p>
    <w:p>
      <w:pPr>
        <w:spacing w:after="60" w:line="276" w:lineRule="auto"/>
        <w:ind w:left="360"/>
      </w:pPr>
      <w:r>
        <w:rPr>
          <w:rFonts w:ascii="Calibri" w:hAnsi="Calibri"/>
          <w:b/>
          <w:color w:val="2B6CB0"/>
          <w:sz w:val="21"/>
        </w:rPr>
        <w:t xml:space="preserve">• </w:t>
      </w:r>
      <w:r>
        <w:rPr>
          <w:rFonts w:ascii="Calibri" w:hAnsi="Calibri"/>
          <w:b/>
          <w:color w:val="2D3748"/>
          <w:sz w:val="21"/>
        </w:rPr>
        <w:t xml:space="preserve">High Computational Efficiency: </w:t>
      </w:r>
      <w:r>
        <w:rPr>
          <w:rFonts w:ascii="Calibri" w:hAnsi="Calibri"/>
          <w:color w:val="2D3748"/>
          <w:sz w:val="21"/>
        </w:rPr>
        <w:t>The complete extraction and classification pipeline requires under 85 ms per image on standard CPU hardware, rendering it over 20 times faster than heavyweight deep learning architectures like Swin-Transformers or ResNet-50.</w:t>
      </w:r>
    </w:p>
    <w:p>
      <w:pPr>
        <w:keepNext/>
        <w:spacing w:before="320" w:after="120"/>
      </w:pPr>
      <w:r>
        <w:rPr>
          <w:rFonts w:ascii="Calibri" w:hAnsi="Calibri"/>
          <w:b/>
          <w:color w:val="1A365D"/>
          <w:sz w:val="32"/>
        </w:rPr>
        <w:t>6. Conclusion</w:t>
      </w:r>
    </w:p>
    <w:p>
      <w:pPr>
        <w:spacing w:after="120" w:line="276" w:lineRule="auto"/>
      </w:pPr>
      <w:r>
        <w:rPr>
          <w:rFonts w:ascii="Calibri" w:hAnsi="Calibri"/>
          <w:i w:val="0"/>
          <w:color w:val="2D3748"/>
          <w:sz w:val="22"/>
        </w:rPr>
        <w:t>This project successfully developed, tested, and validated an interpretable forensic framework for deepfake image detection based on residual noise texture analysis. By mathematically combining Laplacian noise residuals, multi-scale fractal dimensions, block-wise texture complexity, and novel frequency-domain Fourier spectral profiles, our calibrated hybrid ensemble achieved 100% 5-fold cross-validated detection accuracy while upholding complete transparency and physical interpretability.</w:t>
      </w:r>
    </w:p>
    <w:sectPr w:rsidR="0093292C" w:rsidRPr="00472236">
      <w:headerReference w:type="default" r:id="rId7"/>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7116F" w14:textId="77777777" w:rsidR="00F94F49" w:rsidRDefault="00F94F49">
      <w:r>
        <w:separator/>
      </w:r>
    </w:p>
  </w:endnote>
  <w:endnote w:type="continuationSeparator" w:id="0">
    <w:p w14:paraId="2A0C5EA4" w14:textId="77777777" w:rsidR="00F94F49" w:rsidRDefault="00F94F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00"/>
    <w:family w:val="auto"/>
    <w:pitch w:val="default"/>
  </w:font>
  <w:font w:name="Helvetica Neue">
    <w:altName w:val="Times New Roman"/>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B6049D" w14:textId="77777777" w:rsidR="00F94F49" w:rsidRDefault="00F94F49">
      <w:r>
        <w:separator/>
      </w:r>
    </w:p>
  </w:footnote>
  <w:footnote w:type="continuationSeparator" w:id="0">
    <w:p w14:paraId="08CC75A6" w14:textId="77777777" w:rsidR="00F94F49" w:rsidRDefault="00F94F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03FF9" w14:textId="77777777" w:rsidR="0020306E" w:rsidRDefault="00000000">
    <w:r>
      <w:rPr>
        <w:noProof/>
      </w:rPr>
      <w:drawing>
        <wp:anchor distT="0" distB="0" distL="114300" distR="114300" simplePos="0" relativeHeight="251659264" behindDoc="0" locked="0" layoutInCell="1" allowOverlap="1" wp14:anchorId="01F1F19B" wp14:editId="39CE856D">
          <wp:simplePos x="0" y="0"/>
          <wp:positionH relativeFrom="column">
            <wp:posOffset>-701040</wp:posOffset>
          </wp:positionH>
          <wp:positionV relativeFrom="paragraph">
            <wp:posOffset>-450215</wp:posOffset>
          </wp:positionV>
          <wp:extent cx="7553325" cy="1914525"/>
          <wp:effectExtent l="19050" t="0" r="0" b="0"/>
          <wp:wrapSquare wrapText="bothSides"/>
          <wp:docPr id="4" name="Picture 3" descr="letterhead_header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letterhead_header_3.jpg"/>
                  <pic:cNvPicPr>
                    <a:picLocks noChangeAspect="1"/>
                  </pic:cNvPicPr>
                </pic:nvPicPr>
                <pic:blipFill>
                  <a:blip r:embed="rId1"/>
                  <a:stretch>
                    <a:fillRect/>
                  </a:stretch>
                </pic:blipFill>
                <pic:spPr>
                  <a:xfrm>
                    <a:off x="0" y="0"/>
                    <a:ext cx="7548880" cy="191579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75ADB76"/>
    <w:multiLevelType w:val="multilevel"/>
    <w:tmpl w:val="975ADB76"/>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12A74545"/>
    <w:multiLevelType w:val="multilevel"/>
    <w:tmpl w:val="64E66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E751B6"/>
    <w:multiLevelType w:val="multilevel"/>
    <w:tmpl w:val="E924C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0BF7BCB"/>
    <w:multiLevelType w:val="singleLevel"/>
    <w:tmpl w:val="30BF7BCB"/>
    <w:lvl w:ilvl="0">
      <w:start w:val="2"/>
      <w:numFmt w:val="decimal"/>
      <w:suff w:val="space"/>
      <w:lvlText w:val="%1."/>
      <w:lvlJc w:val="left"/>
    </w:lvl>
  </w:abstractNum>
  <w:abstractNum w:abstractNumId="4" w15:restartNumberingAfterBreak="0">
    <w:nsid w:val="48A05FE0"/>
    <w:multiLevelType w:val="multilevel"/>
    <w:tmpl w:val="CD2A7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00584780">
    <w:abstractNumId w:val="3"/>
  </w:num>
  <w:num w:numId="2" w16cid:durableId="1679234302">
    <w:abstractNumId w:val="0"/>
  </w:num>
  <w:num w:numId="3" w16cid:durableId="1384524795">
    <w:abstractNumId w:val="1"/>
  </w:num>
  <w:num w:numId="4" w16cid:durableId="1556703164">
    <w:abstractNumId w:val="2"/>
  </w:num>
  <w:num w:numId="5" w16cid:durableId="10934312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isplayBackgroundShape/>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4E4"/>
    <w:rsid w:val="0001723C"/>
    <w:rsid w:val="0006268C"/>
    <w:rsid w:val="000670E4"/>
    <w:rsid w:val="00075C6C"/>
    <w:rsid w:val="000B6A0A"/>
    <w:rsid w:val="000C1E4B"/>
    <w:rsid w:val="00194DDB"/>
    <w:rsid w:val="001C23CF"/>
    <w:rsid w:val="001D362B"/>
    <w:rsid w:val="001E089D"/>
    <w:rsid w:val="001E54BF"/>
    <w:rsid w:val="002003AD"/>
    <w:rsid w:val="0020306E"/>
    <w:rsid w:val="00242755"/>
    <w:rsid w:val="0025651C"/>
    <w:rsid w:val="0027057B"/>
    <w:rsid w:val="00325A58"/>
    <w:rsid w:val="00384DEE"/>
    <w:rsid w:val="00472236"/>
    <w:rsid w:val="004D62BD"/>
    <w:rsid w:val="005702CC"/>
    <w:rsid w:val="005D2BBC"/>
    <w:rsid w:val="005D5D19"/>
    <w:rsid w:val="00614524"/>
    <w:rsid w:val="0063711C"/>
    <w:rsid w:val="00643E7D"/>
    <w:rsid w:val="006854D1"/>
    <w:rsid w:val="006C127A"/>
    <w:rsid w:val="006F7ACF"/>
    <w:rsid w:val="007662A2"/>
    <w:rsid w:val="00773DE5"/>
    <w:rsid w:val="007C7829"/>
    <w:rsid w:val="007D22C2"/>
    <w:rsid w:val="007E09D1"/>
    <w:rsid w:val="0083198F"/>
    <w:rsid w:val="0086295A"/>
    <w:rsid w:val="008A5276"/>
    <w:rsid w:val="008B48CB"/>
    <w:rsid w:val="0093292C"/>
    <w:rsid w:val="009C2185"/>
    <w:rsid w:val="009D3379"/>
    <w:rsid w:val="009F5B84"/>
    <w:rsid w:val="00A254E4"/>
    <w:rsid w:val="00A559CF"/>
    <w:rsid w:val="00A71C0C"/>
    <w:rsid w:val="00AA0E67"/>
    <w:rsid w:val="00B866D0"/>
    <w:rsid w:val="00BE4421"/>
    <w:rsid w:val="00C2240A"/>
    <w:rsid w:val="00C71DCF"/>
    <w:rsid w:val="00C86961"/>
    <w:rsid w:val="00DD565D"/>
    <w:rsid w:val="00E42DC4"/>
    <w:rsid w:val="00E96973"/>
    <w:rsid w:val="00F22431"/>
    <w:rsid w:val="00F60DDD"/>
    <w:rsid w:val="00F94F49"/>
    <w:rsid w:val="28DE7E66"/>
    <w:rsid w:val="2C8721D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9F2D2A"/>
  <w15:docId w15:val="{E5D418FB-6431-4EB1-811B-4B20A88CD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Arial Unicode MS"/>
      <w:sz w:val="24"/>
      <w:szCs w:val="24"/>
      <w:lang w:val="en-US" w:eastAsia="en-US"/>
    </w:rPr>
  </w:style>
  <w:style w:type="paragraph" w:styleId="Heading1">
    <w:name w:val="heading 1"/>
    <w:next w:val="Normal"/>
    <w:uiPriority w:val="9"/>
    <w:qFormat/>
    <w:pPr>
      <w:spacing w:beforeAutospacing="1" w:afterAutospacing="1"/>
      <w:outlineLvl w:val="0"/>
    </w:pPr>
    <w:rPr>
      <w:rFonts w:ascii="SimSun" w:hAnsi="SimSun" w:hint="eastAsia"/>
      <w:b/>
      <w:bCs/>
      <w:kern w:val="44"/>
      <w:sz w:val="48"/>
      <w:szCs w:val="48"/>
      <w:lang w:val="en-US" w:eastAsia="zh-CN"/>
    </w:rPr>
  </w:style>
  <w:style w:type="paragraph" w:styleId="Heading2">
    <w:name w:val="heading 2"/>
    <w:next w:val="Normal"/>
    <w:uiPriority w:val="9"/>
    <w:semiHidden/>
    <w:unhideWhenUsed/>
    <w:qFormat/>
    <w:pPr>
      <w:spacing w:beforeAutospacing="1" w:afterAutospacing="1"/>
      <w:outlineLvl w:val="1"/>
    </w:pPr>
    <w:rPr>
      <w:rFonts w:ascii="SimSun" w:hAnsi="SimSun" w:hint="eastAsia"/>
      <w:b/>
      <w:bCs/>
      <w:sz w:val="36"/>
      <w:szCs w:val="36"/>
      <w:lang w:val="en-US" w:eastAsia="zh-CN"/>
    </w:rPr>
  </w:style>
  <w:style w:type="paragraph" w:styleId="Heading3">
    <w:name w:val="heading 3"/>
    <w:next w:val="Normal"/>
    <w:uiPriority w:val="9"/>
    <w:semiHidden/>
    <w:unhideWhenUsed/>
    <w:qFormat/>
    <w:pPr>
      <w:spacing w:beforeAutospacing="1" w:afterAutospacing="1"/>
      <w:outlineLvl w:val="2"/>
    </w:pPr>
    <w:rPr>
      <w:rFonts w:ascii="SimSun" w:hAnsi="SimSun" w:hint="eastAsia"/>
      <w:b/>
      <w:bCs/>
      <w:sz w:val="27"/>
      <w:szCs w:val="27"/>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semiHidden/>
    <w:unhideWhenUsed/>
    <w:qFormat/>
    <w:pPr>
      <w:tabs>
        <w:tab w:val="center" w:pos="4680"/>
        <w:tab w:val="right" w:pos="9360"/>
      </w:tabs>
    </w:pPr>
  </w:style>
  <w:style w:type="paragraph" w:styleId="Header">
    <w:name w:val="header"/>
    <w:basedOn w:val="Normal"/>
    <w:link w:val="HeaderChar"/>
    <w:uiPriority w:val="99"/>
    <w:semiHidden/>
    <w:unhideWhenUsed/>
    <w:qFormat/>
    <w:pPr>
      <w:tabs>
        <w:tab w:val="center" w:pos="4680"/>
        <w:tab w:val="right" w:pos="9360"/>
      </w:tabs>
    </w:pPr>
  </w:style>
  <w:style w:type="character" w:styleId="HTMLCode">
    <w:name w:val="HTML Code"/>
    <w:basedOn w:val="DefaultParagraphFont"/>
    <w:uiPriority w:val="99"/>
    <w:semiHidden/>
    <w:unhideWhenUsed/>
    <w:rPr>
      <w:rFonts w:ascii="Courier New" w:hAnsi="Courier New" w:cs="Courier New"/>
      <w:sz w:val="20"/>
      <w:szCs w:val="20"/>
    </w:rPr>
  </w:style>
  <w:style w:type="paragraph" w:styleId="HTMLPreformatted">
    <w:name w:val="HTML Preformatted"/>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character" w:styleId="Hyperlink">
    <w:name w:val="Hyperlink"/>
    <w:rPr>
      <w:u w:val="single"/>
    </w:rPr>
  </w:style>
  <w:style w:type="paragraph" w:styleId="NormalWeb">
    <w:name w:val="Normal (Web)"/>
    <w:uiPriority w:val="99"/>
    <w:semiHidden/>
    <w:unhideWhenUsed/>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table" w:styleId="TableGrid">
    <w:name w:val="Table Grid"/>
    <w:basedOn w:val="TableNormal"/>
    <w:uiPriority w:val="59"/>
    <w:unhideWhenUsed/>
    <w:pPr>
      <w:ind w:left="357" w:hanging="357"/>
      <w:jc w:val="both"/>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pPr>
      <w:spacing w:before="160" w:line="288" w:lineRule="auto"/>
    </w:pPr>
    <w:rPr>
      <w:rFonts w:ascii="Helvetica Neue" w:eastAsia="Arial Unicode MS" w:hAnsi="Helvetica Neue" w:cs="Arial Unicode MS"/>
      <w:color w:val="000000"/>
      <w:sz w:val="24"/>
      <w:szCs w:val="24"/>
      <w:lang w:val="en-US" w:bidi="te-IN"/>
    </w:rPr>
  </w:style>
  <w:style w:type="paragraph" w:customStyle="1" w:styleId="TableStyle2">
    <w:name w:val="Table Style 2"/>
    <w:qFormat/>
    <w:rPr>
      <w:rFonts w:ascii="Helvetica Neue" w:eastAsia="Helvetica Neue" w:hAnsi="Helvetica Neue" w:cs="Helvetica Neue"/>
      <w:color w:val="000000"/>
      <w:lang w:bidi="te-IN"/>
    </w:rPr>
  </w:style>
  <w:style w:type="character" w:customStyle="1" w:styleId="HeaderChar">
    <w:name w:val="Header Char"/>
    <w:basedOn w:val="DefaultParagraphFont"/>
    <w:link w:val="Header"/>
    <w:uiPriority w:val="99"/>
    <w:semiHidden/>
    <w:qFormat/>
    <w:rPr>
      <w:sz w:val="24"/>
      <w:szCs w:val="24"/>
      <w:lang w:val="en-US" w:eastAsia="en-US" w:bidi="ar-SA"/>
    </w:rPr>
  </w:style>
  <w:style w:type="character" w:customStyle="1" w:styleId="FooterChar">
    <w:name w:val="Footer Char"/>
    <w:basedOn w:val="DefaultParagraphFont"/>
    <w:link w:val="Footer"/>
    <w:uiPriority w:val="99"/>
    <w:semiHidden/>
    <w:qFormat/>
    <w:rPr>
      <w:sz w:val="24"/>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spPr>
      <a:bodyPr rot="0" spcFirstLastPara="1" vertOverflow="overflow" horzOverflow="overflow" vert="horz" wrap="square" lIns="50800" tIns="50800" rIns="50800" bIns="50800" numCol="1" spcCol="38100" rtlCol="0" anchor="ctr">
        <a:spAutoFit/>
      </a:body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spPr>
      <a:bodyPr rot="0" spcFirstLastPara="1" vertOverflow="overflow" horzOverflow="overflow" vert="horz" wrap="square" lIns="91439" tIns="45719" rIns="91439" bIns="45719" numCol="1" spcCol="38100" rtlCol="0" anchor="t">
        <a:noAutofit/>
      </a:bodyPr>
      <a:lstStyle/>
      <a:style>
        <a:lnRef idx="0">
          <a:scrgbClr r="0" g="0" b="0"/>
        </a:lnRef>
        <a:fillRef idx="0">
          <a:scrgbClr r="0" g="0" b="0"/>
        </a:fillRef>
        <a:effectRef idx="0">
          <a:scrgbClr r="0" g="0" b="0"/>
        </a:effectRef>
        <a:fontRef idx="none"/>
      </a:style>
    </a:lnDef>
    <a:txDef>
      <a:spPr>
        <a:noFill/>
        <a:ln w="12700" cap="flat">
          <a:noFill/>
          <a:miter lim="400000"/>
        </a:ln>
      </a:spPr>
      <a:bodyPr rot="0" spcFirstLastPara="1" vertOverflow="overflow" horzOverflow="overflow" vert="horz" wrap="square" lIns="50800" tIns="50800" rIns="50800" bIns="50800" numCol="1" spcCol="38100" rtlCol="0" anchor="t">
        <a:spAutoFit/>
      </a:body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290</TotalTime>
  <Pages>1</Pages>
  <Words>45</Words>
  <Characters>260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Home</dc:creator>
  <cp:lastModifiedBy>Raghavender Reddy</cp:lastModifiedBy>
  <cp:revision>11</cp:revision>
  <cp:lastPrinted>2026-08-17T06:56:00Z</cp:lastPrinted>
  <dcterms:created xsi:type="dcterms:W3CDTF">2026-08-17T06:46:00Z</dcterms:created>
  <dcterms:modified xsi:type="dcterms:W3CDTF">2026-09-28T11:14:00Z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eyJoZGlkIjoiODRlMzdiODYzMjVhODg2YmE4ZTg0OTI5NGNlNTBmNWUiLCJ1c2VySWQiOiI1Njc1OTU0MzI4MDAifQ==</vt:lpwstr>
  </property>
  <property fmtid="{D5CDD505-2E9C-101B-9397-08002B2CF9AE}" pid="3" name="KSOProductBuildVer">
    <vt:lpwstr>1033-12.1.0.28032</vt:lpwstr>
  </property>
  <property fmtid="{D5CDD505-2E9C-101B-9397-08002B2CF9AE}" pid="4" name="ICV">
    <vt:lpwstr>645CA4E83CA04885AA22C4F9FA37E0AC_13</vt:lpwstr>
  </property>
</Properties>
</file>