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8446E" w:rsidRDefault="00000000">
      <w:pPr>
        <w:spacing w:before="1400"/>
        <w:jc w:val="center"/>
      </w:pPr>
      <w:r>
        <w:rPr>
          <w:b/>
          <w:bCs/>
          <w:color w:val="1F3864"/>
          <w:sz w:val="52"/>
          <w:szCs w:val="52"/>
        </w:rPr>
        <w:t>Advanced SQL Data Warehouse</w:t>
      </w:r>
    </w:p>
    <w:p w:rsidR="0028446E" w:rsidRDefault="00000000">
      <w:pPr>
        <w:spacing w:after="100"/>
        <w:jc w:val="center"/>
      </w:pPr>
      <w:r>
        <w:rPr>
          <w:b/>
          <w:bCs/>
          <w:color w:val="1F3864"/>
          <w:sz w:val="52"/>
          <w:szCs w:val="52"/>
        </w:rPr>
        <w:t>&amp; Business Analytics</w:t>
      </w:r>
    </w:p>
    <w:p w:rsidR="0028446E" w:rsidRDefault="00000000">
      <w:pPr>
        <w:spacing w:before="200" w:after="600"/>
        <w:jc w:val="center"/>
      </w:pPr>
      <w:r>
        <w:rPr>
          <w:i/>
          <w:iCs/>
          <w:color w:val="2E74B5"/>
          <w:sz w:val="28"/>
          <w:szCs w:val="28"/>
        </w:rPr>
        <w:t>Central Superstore — Mini-Project 2 Report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50"/>
      </w:tblGrid>
      <w:tr w:rsidR="0028446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446E" w:rsidRDefault="00000000"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635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446E" w:rsidRDefault="00000000">
            <w:r>
              <w:rPr>
                <w:b/>
                <w:bCs/>
                <w:color w:val="FFFFFF"/>
                <w:sz w:val="20"/>
                <w:szCs w:val="20"/>
              </w:rPr>
              <w:t>Detail</w:t>
            </w:r>
          </w:p>
        </w:tc>
      </w:tr>
      <w:tr w:rsidR="0028446E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446E" w:rsidRDefault="00000000">
            <w:r>
              <w:rPr>
                <w:color w:val="000000"/>
                <w:sz w:val="20"/>
                <w:szCs w:val="20"/>
              </w:rPr>
              <w:t>Dataset</w:t>
            </w:r>
          </w:p>
        </w:tc>
        <w:tc>
          <w:tcPr>
            <w:tcW w:w="63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446E" w:rsidRDefault="00000000">
            <w:r>
              <w:rPr>
                <w:color w:val="000000"/>
                <w:sz w:val="20"/>
                <w:szCs w:val="20"/>
              </w:rPr>
              <w:t>Central_Superstore.csv (2,323 order-line rows)</w:t>
            </w:r>
          </w:p>
        </w:tc>
      </w:tr>
      <w:tr w:rsidR="0028446E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446E" w:rsidRDefault="00000000">
            <w:r>
              <w:rPr>
                <w:color w:val="000000"/>
                <w:sz w:val="20"/>
                <w:szCs w:val="20"/>
              </w:rPr>
              <w:t>Tool</w:t>
            </w:r>
          </w:p>
        </w:tc>
        <w:tc>
          <w:tcPr>
            <w:tcW w:w="63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446E" w:rsidRDefault="00000000">
            <w:r>
              <w:rPr>
                <w:color w:val="000000"/>
                <w:sz w:val="20"/>
                <w:szCs w:val="20"/>
              </w:rPr>
              <w:t>SQL Server (T-SQL) + Python / pandas</w:t>
            </w:r>
          </w:p>
        </w:tc>
      </w:tr>
      <w:tr w:rsidR="0028446E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446E" w:rsidRDefault="00000000">
            <w:r>
              <w:rPr>
                <w:color w:val="000000"/>
                <w:sz w:val="20"/>
                <w:szCs w:val="20"/>
              </w:rPr>
              <w:t>Prepared by</w:t>
            </w:r>
          </w:p>
        </w:tc>
        <w:tc>
          <w:tcPr>
            <w:tcW w:w="63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446E" w:rsidRDefault="00000000">
            <w:r>
              <w:rPr>
                <w:color w:val="000000"/>
                <w:sz w:val="20"/>
                <w:szCs w:val="20"/>
              </w:rPr>
              <w:t>Ahmed</w:t>
            </w:r>
            <w:r w:rsidR="005D219E">
              <w:rPr>
                <w:color w:val="000000"/>
                <w:sz w:val="20"/>
                <w:szCs w:val="20"/>
              </w:rPr>
              <w:t>Tea</w:t>
            </w:r>
          </w:p>
        </w:tc>
      </w:tr>
      <w:tr w:rsidR="0028446E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446E" w:rsidRDefault="00000000">
            <w:r>
              <w:rPr>
                <w:color w:val="000000"/>
                <w:sz w:val="20"/>
                <w:szCs w:val="20"/>
              </w:rPr>
              <w:t>Scope</w:t>
            </w:r>
          </w:p>
        </w:tc>
        <w:tc>
          <w:tcPr>
            <w:tcW w:w="63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446E" w:rsidRDefault="00000000">
            <w:r>
              <w:rPr>
                <w:color w:val="000000"/>
                <w:sz w:val="20"/>
                <w:szCs w:val="20"/>
              </w:rPr>
              <w:t>Data modeling, ETL pipeline, KPI reporting, business analytics</w:t>
            </w:r>
          </w:p>
        </w:tc>
      </w:tr>
    </w:tbl>
    <w:p w:rsidR="0028446E" w:rsidRDefault="00000000">
      <w:r>
        <w:br w:type="page"/>
      </w:r>
    </w:p>
    <w:p w:rsidR="0028446E" w:rsidRDefault="00000000">
      <w:pPr>
        <w:pStyle w:val="Heading1"/>
      </w:pPr>
      <w:r>
        <w:lastRenderedPageBreak/>
        <w:t>Executive Summary</w:t>
      </w:r>
    </w:p>
    <w:p w:rsidR="0028446E" w:rsidRDefault="00000000">
      <w:pPr>
        <w:spacing w:after="160" w:line="276" w:lineRule="auto"/>
      </w:pPr>
      <w:r>
        <w:t>This project turns a flat, order-line-grain retail export (the Central region of the Superstore dataset) into a small but complete data warehouse: a four-layer medallion pipeline (staging → bronze → silver → gold), a star schema with one fact table and five dimensions, KPI views and stored procedures, an 1</w:t>
      </w:r>
      <w:r w:rsidR="005D219E">
        <w:t>6</w:t>
      </w:r>
      <w:r>
        <w:t>-query analytical catalog, and a business-analytics write-up covering profitability, customer behavior, and sales trends.</w:t>
      </w:r>
    </w:p>
    <w:p w:rsidR="0028446E" w:rsidRDefault="00000000">
      <w:pPr>
        <w:spacing w:after="160" w:line="276" w:lineRule="auto"/>
      </w:pPr>
      <w:r>
        <w:t>Two genuine data-quality issues were found and fixed while building this against a live SQL Server instance rather than only in theory: a Jupyter notebook that referenced an undefined variable and assumed missing values that the actual extract does not have, and a delimiter-collision bug in the raw CSV that silently shifted sales, quantity, discount, and profit by one column for three rows. Both are documented in detail in Section 4.</w:t>
      </w:r>
    </w:p>
    <w:p w:rsidR="0028446E" w:rsidRDefault="00000000">
      <w:pPr>
        <w:pStyle w:val="Heading1"/>
      </w:pPr>
      <w:r>
        <w:t>1. Introduction &amp; Business Scenario</w:t>
      </w:r>
    </w:p>
    <w:p w:rsidR="0028446E" w:rsidRDefault="00000000">
      <w:pPr>
        <w:spacing w:after="160" w:line="276" w:lineRule="auto"/>
      </w:pPr>
      <w:r>
        <w:t>A multinational retail company needs an automated analytical solution to monitor sales, profitability, customer behavior, and operational performance from its transactional data. This project builds that solution end-to-end for the company's Central sales region: from raw CSV ingestion, through cleaning and dimensional modeling, to reusable KPI views, stored procedures, and a documented set of analytical and business-insight queries.</w:t>
      </w:r>
    </w:p>
    <w:p w:rsidR="0028446E" w:rsidRDefault="00000000">
      <w:pPr>
        <w:pStyle w:val="Heading1"/>
      </w:pPr>
      <w:r>
        <w:t>2. Dataset Overview</w:t>
      </w:r>
    </w:p>
    <w:p w:rsidR="0028446E" w:rsidRDefault="00000000">
      <w:pPr>
        <w:spacing w:after="160" w:line="276" w:lineRule="auto"/>
      </w:pPr>
      <w:r>
        <w:t>The source file, Central_Superstore.csv, is a semicolon-delimited export at order-line grain (one row per Order ID + Product ID pair):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500"/>
        <w:gridCol w:w="3850"/>
      </w:tblGrid>
      <w:tr w:rsidR="0028446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5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446E" w:rsidRDefault="00000000">
            <w:r>
              <w:rPr>
                <w:b/>
                <w:bCs/>
                <w:color w:val="FFFFFF"/>
                <w:sz w:val="20"/>
                <w:szCs w:val="20"/>
              </w:rPr>
              <w:t>Metric</w:t>
            </w:r>
          </w:p>
        </w:tc>
        <w:tc>
          <w:tcPr>
            <w:tcW w:w="385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446E" w:rsidRDefault="00000000">
            <w:r>
              <w:rPr>
                <w:b/>
                <w:bCs/>
                <w:color w:val="FFFFFF"/>
                <w:sz w:val="20"/>
                <w:szCs w:val="20"/>
              </w:rPr>
              <w:t>Value</w:t>
            </w:r>
          </w:p>
        </w:tc>
      </w:tr>
      <w:tr w:rsidR="0028446E">
        <w:tblPrEx>
          <w:tblCellMar>
            <w:top w:w="0" w:type="dxa"/>
            <w:bottom w:w="0" w:type="dxa"/>
          </w:tblCellMar>
        </w:tblPrEx>
        <w:tc>
          <w:tcPr>
            <w:tcW w:w="5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446E" w:rsidRDefault="00000000">
            <w:r>
              <w:rPr>
                <w:color w:val="000000"/>
                <w:sz w:val="20"/>
                <w:szCs w:val="20"/>
              </w:rPr>
              <w:t>Total order-line rows</w:t>
            </w:r>
          </w:p>
        </w:tc>
        <w:tc>
          <w:tcPr>
            <w:tcW w:w="38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446E" w:rsidRDefault="00000000">
            <w:r>
              <w:rPr>
                <w:color w:val="000000"/>
                <w:sz w:val="20"/>
                <w:szCs w:val="20"/>
              </w:rPr>
              <w:t>2,323</w:t>
            </w:r>
          </w:p>
        </w:tc>
      </w:tr>
      <w:tr w:rsidR="0028446E">
        <w:tblPrEx>
          <w:tblCellMar>
            <w:top w:w="0" w:type="dxa"/>
            <w:bottom w:w="0" w:type="dxa"/>
          </w:tblCellMar>
        </w:tblPrEx>
        <w:tc>
          <w:tcPr>
            <w:tcW w:w="5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446E" w:rsidRDefault="00000000">
            <w:r>
              <w:rPr>
                <w:color w:val="000000"/>
                <w:sz w:val="20"/>
                <w:szCs w:val="20"/>
              </w:rPr>
              <w:t>Unique orders</w:t>
            </w:r>
          </w:p>
        </w:tc>
        <w:tc>
          <w:tcPr>
            <w:tcW w:w="38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446E" w:rsidRDefault="00000000">
            <w:r>
              <w:rPr>
                <w:color w:val="000000"/>
                <w:sz w:val="20"/>
                <w:szCs w:val="20"/>
              </w:rPr>
              <w:t>1,175</w:t>
            </w:r>
          </w:p>
        </w:tc>
      </w:tr>
      <w:tr w:rsidR="0028446E">
        <w:tblPrEx>
          <w:tblCellMar>
            <w:top w:w="0" w:type="dxa"/>
            <w:bottom w:w="0" w:type="dxa"/>
          </w:tblCellMar>
        </w:tblPrEx>
        <w:tc>
          <w:tcPr>
            <w:tcW w:w="5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446E" w:rsidRDefault="00000000">
            <w:r>
              <w:rPr>
                <w:color w:val="000000"/>
                <w:sz w:val="20"/>
                <w:szCs w:val="20"/>
              </w:rPr>
              <w:t>Unique customers</w:t>
            </w:r>
          </w:p>
        </w:tc>
        <w:tc>
          <w:tcPr>
            <w:tcW w:w="38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446E" w:rsidRDefault="00000000">
            <w:r>
              <w:rPr>
                <w:color w:val="000000"/>
                <w:sz w:val="20"/>
                <w:szCs w:val="20"/>
              </w:rPr>
              <w:t>629</w:t>
            </w:r>
          </w:p>
        </w:tc>
      </w:tr>
      <w:tr w:rsidR="0028446E">
        <w:tblPrEx>
          <w:tblCellMar>
            <w:top w:w="0" w:type="dxa"/>
            <w:bottom w:w="0" w:type="dxa"/>
          </w:tblCellMar>
        </w:tblPrEx>
        <w:tc>
          <w:tcPr>
            <w:tcW w:w="5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446E" w:rsidRDefault="00000000">
            <w:r>
              <w:rPr>
                <w:color w:val="000000"/>
                <w:sz w:val="20"/>
                <w:szCs w:val="20"/>
              </w:rPr>
              <w:t>Unique products</w:t>
            </w:r>
          </w:p>
        </w:tc>
        <w:tc>
          <w:tcPr>
            <w:tcW w:w="38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446E" w:rsidRDefault="00000000">
            <w:r>
              <w:rPr>
                <w:color w:val="000000"/>
                <w:sz w:val="20"/>
                <w:szCs w:val="20"/>
              </w:rPr>
              <w:t>1,310</w:t>
            </w:r>
          </w:p>
        </w:tc>
      </w:tr>
      <w:tr w:rsidR="0028446E">
        <w:tblPrEx>
          <w:tblCellMar>
            <w:top w:w="0" w:type="dxa"/>
            <w:bottom w:w="0" w:type="dxa"/>
          </w:tblCellMar>
        </w:tblPrEx>
        <w:tc>
          <w:tcPr>
            <w:tcW w:w="5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446E" w:rsidRDefault="00000000">
            <w:r>
              <w:rPr>
                <w:color w:val="000000"/>
                <w:sz w:val="20"/>
                <w:szCs w:val="20"/>
              </w:rPr>
              <w:t>Distinct city / state / postal combinations</w:t>
            </w:r>
          </w:p>
        </w:tc>
        <w:tc>
          <w:tcPr>
            <w:tcW w:w="38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446E" w:rsidRDefault="00000000">
            <w:r>
              <w:rPr>
                <w:color w:val="000000"/>
                <w:sz w:val="20"/>
                <w:szCs w:val="20"/>
              </w:rPr>
              <w:t>195</w:t>
            </w:r>
          </w:p>
        </w:tc>
      </w:tr>
      <w:tr w:rsidR="0028446E">
        <w:tblPrEx>
          <w:tblCellMar>
            <w:top w:w="0" w:type="dxa"/>
            <w:bottom w:w="0" w:type="dxa"/>
          </w:tblCellMar>
        </w:tblPrEx>
        <w:tc>
          <w:tcPr>
            <w:tcW w:w="5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446E" w:rsidRDefault="00000000">
            <w:r>
              <w:rPr>
                <w:color w:val="000000"/>
                <w:sz w:val="20"/>
                <w:szCs w:val="20"/>
              </w:rPr>
              <w:t>Region covered</w:t>
            </w:r>
          </w:p>
        </w:tc>
        <w:tc>
          <w:tcPr>
            <w:tcW w:w="38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446E" w:rsidRDefault="00000000">
            <w:r>
              <w:rPr>
                <w:color w:val="000000"/>
                <w:sz w:val="20"/>
                <w:szCs w:val="20"/>
              </w:rPr>
              <w:t>Central (single region)</w:t>
            </w:r>
          </w:p>
        </w:tc>
      </w:tr>
      <w:tr w:rsidR="0028446E">
        <w:tblPrEx>
          <w:tblCellMar>
            <w:top w:w="0" w:type="dxa"/>
            <w:bottom w:w="0" w:type="dxa"/>
          </w:tblCellMar>
        </w:tblPrEx>
        <w:tc>
          <w:tcPr>
            <w:tcW w:w="5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446E" w:rsidRDefault="00000000">
            <w:r>
              <w:rPr>
                <w:color w:val="000000"/>
                <w:sz w:val="20"/>
                <w:szCs w:val="20"/>
              </w:rPr>
              <w:t>Date range</w:t>
            </w:r>
          </w:p>
        </w:tc>
        <w:tc>
          <w:tcPr>
            <w:tcW w:w="38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446E" w:rsidRDefault="00000000">
            <w:r>
              <w:rPr>
                <w:color w:val="000000"/>
                <w:sz w:val="20"/>
                <w:szCs w:val="20"/>
              </w:rPr>
              <w:t>2013 – 2015 order dates</w:t>
            </w:r>
          </w:p>
        </w:tc>
      </w:tr>
      <w:tr w:rsidR="0028446E">
        <w:tblPrEx>
          <w:tblCellMar>
            <w:top w:w="0" w:type="dxa"/>
            <w:bottom w:w="0" w:type="dxa"/>
          </w:tblCellMar>
        </w:tblPrEx>
        <w:tc>
          <w:tcPr>
            <w:tcW w:w="5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446E" w:rsidRDefault="00000000">
            <w:r>
              <w:rPr>
                <w:color w:val="000000"/>
                <w:sz w:val="20"/>
                <w:szCs w:val="20"/>
              </w:rPr>
              <w:t>Missing values</w:t>
            </w:r>
          </w:p>
        </w:tc>
        <w:tc>
          <w:tcPr>
            <w:tcW w:w="38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446E" w:rsidRDefault="00000000">
            <w:r>
              <w:rPr>
                <w:color w:val="000000"/>
                <w:sz w:val="20"/>
                <w:szCs w:val="20"/>
              </w:rPr>
              <w:t>None — confirmed via pandas .isnull().sum() on every column</w:t>
            </w:r>
          </w:p>
        </w:tc>
      </w:tr>
    </w:tbl>
    <w:p w:rsidR="005D219E" w:rsidRDefault="005D219E">
      <w:pPr>
        <w:pStyle w:val="Heading1"/>
      </w:pPr>
    </w:p>
    <w:p w:rsidR="005D219E" w:rsidRDefault="005D219E">
      <w:pPr>
        <w:pStyle w:val="Heading1"/>
      </w:pPr>
    </w:p>
    <w:p w:rsidR="0028446E" w:rsidRDefault="00000000">
      <w:pPr>
        <w:pStyle w:val="Heading1"/>
      </w:pPr>
      <w:r>
        <w:lastRenderedPageBreak/>
        <w:t>3. Data Architecture</w:t>
      </w:r>
    </w:p>
    <w:p w:rsidR="0028446E" w:rsidRDefault="00000000">
      <w:pPr>
        <w:pStyle w:val="Heading2"/>
        <w:spacing w:before="280" w:after="140"/>
      </w:pPr>
      <w:r>
        <w:t>3.1 Medallion Layers</w:t>
      </w:r>
    </w:p>
    <w:p w:rsidR="0028446E" w:rsidRDefault="00000000">
      <w:pPr>
        <w:spacing w:after="160" w:line="276" w:lineRule="auto"/>
      </w:pPr>
      <w:r>
        <w:t>The warehouse is built in four layers, all inside superstore_data/central_superstore_data.sql: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4550"/>
        <w:gridCol w:w="3200"/>
      </w:tblGrid>
      <w:tr w:rsidR="0028446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446E" w:rsidRDefault="00000000">
            <w:r>
              <w:rPr>
                <w:b/>
                <w:bCs/>
                <w:color w:val="FFFFFF"/>
                <w:sz w:val="20"/>
                <w:szCs w:val="20"/>
              </w:rPr>
              <w:t>Layer</w:t>
            </w:r>
          </w:p>
        </w:tc>
        <w:tc>
          <w:tcPr>
            <w:tcW w:w="455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446E" w:rsidRDefault="00000000"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  <w:tc>
          <w:tcPr>
            <w:tcW w:w="32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446E" w:rsidRDefault="00000000">
            <w:r>
              <w:rPr>
                <w:b/>
                <w:bCs/>
                <w:color w:val="FFFFFF"/>
                <w:sz w:val="20"/>
                <w:szCs w:val="20"/>
              </w:rPr>
              <w:t>Tables</w:t>
            </w:r>
          </w:p>
        </w:tc>
      </w:tr>
      <w:tr w:rsidR="0028446E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446E" w:rsidRDefault="00000000">
            <w:r>
              <w:rPr>
                <w:color w:val="000000"/>
                <w:sz w:val="20"/>
                <w:szCs w:val="20"/>
              </w:rPr>
              <w:t>Staging</w:t>
            </w:r>
          </w:p>
        </w:tc>
        <w:tc>
          <w:tcPr>
            <w:tcW w:w="45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446E" w:rsidRDefault="00000000">
            <w:r>
              <w:rPr>
                <w:color w:val="000000"/>
                <w:sz w:val="20"/>
                <w:szCs w:val="20"/>
              </w:rPr>
              <w:t>Raw text load straight from the CSV via BULK INSERT</w:t>
            </w:r>
          </w:p>
        </w:tc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446E" w:rsidRDefault="00000000">
            <w:r>
              <w:rPr>
                <w:color w:val="000000"/>
                <w:sz w:val="20"/>
                <w:szCs w:val="20"/>
              </w:rPr>
              <w:t>staging.superstore</w:t>
            </w:r>
          </w:p>
        </w:tc>
      </w:tr>
      <w:tr w:rsidR="0028446E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446E" w:rsidRDefault="00000000">
            <w:r>
              <w:rPr>
                <w:color w:val="000000"/>
                <w:sz w:val="20"/>
                <w:szCs w:val="20"/>
              </w:rPr>
              <w:t>Bronze</w:t>
            </w:r>
          </w:p>
        </w:tc>
        <w:tc>
          <w:tcPr>
            <w:tcW w:w="45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446E" w:rsidRDefault="00000000">
            <w:r>
              <w:rPr>
                <w:color w:val="000000"/>
                <w:sz w:val="20"/>
                <w:szCs w:val="20"/>
              </w:rPr>
              <w:t>Append-only, versioned copy of every staging load</w:t>
            </w:r>
          </w:p>
        </w:tc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446E" w:rsidRDefault="00000000">
            <w:r>
              <w:rPr>
                <w:color w:val="000000"/>
                <w:sz w:val="20"/>
                <w:szCs w:val="20"/>
              </w:rPr>
              <w:t>bronze.superstore</w:t>
            </w:r>
          </w:p>
        </w:tc>
      </w:tr>
      <w:tr w:rsidR="0028446E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446E" w:rsidRDefault="00000000">
            <w:r>
              <w:rPr>
                <w:color w:val="000000"/>
                <w:sz w:val="20"/>
                <w:szCs w:val="20"/>
              </w:rPr>
              <w:t>Silver</w:t>
            </w:r>
          </w:p>
        </w:tc>
        <w:tc>
          <w:tcPr>
            <w:tcW w:w="45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446E" w:rsidRDefault="00000000">
            <w:r>
              <w:rPr>
                <w:color w:val="000000"/>
                <w:sz w:val="20"/>
                <w:szCs w:val="20"/>
              </w:rPr>
              <w:t>Typed, cleaned, deduplicated business entities; bad values flagged, never dropped</w:t>
            </w:r>
          </w:p>
        </w:tc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446E" w:rsidRDefault="00000000">
            <w:r>
              <w:rPr>
                <w:color w:val="000000"/>
                <w:sz w:val="20"/>
                <w:szCs w:val="20"/>
              </w:rPr>
              <w:t>customers, products, locations, order_lines</w:t>
            </w:r>
          </w:p>
        </w:tc>
      </w:tr>
      <w:tr w:rsidR="0028446E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446E" w:rsidRDefault="00000000">
            <w:r>
              <w:rPr>
                <w:color w:val="000000"/>
                <w:sz w:val="20"/>
                <w:szCs w:val="20"/>
              </w:rPr>
              <w:t>Gold</w:t>
            </w:r>
          </w:p>
        </w:tc>
        <w:tc>
          <w:tcPr>
            <w:tcW w:w="45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446E" w:rsidRDefault="00000000">
            <w:r>
              <w:rPr>
                <w:color w:val="000000"/>
                <w:sz w:val="20"/>
                <w:szCs w:val="20"/>
              </w:rPr>
              <w:t>Star schema for reporting</w:t>
            </w:r>
          </w:p>
        </w:tc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446E" w:rsidRDefault="00000000">
            <w:r>
              <w:rPr>
                <w:color w:val="000000"/>
                <w:sz w:val="20"/>
                <w:szCs w:val="20"/>
              </w:rPr>
              <w:t>fact_sales + 5 dimensions</w:t>
            </w:r>
          </w:p>
        </w:tc>
      </w:tr>
    </w:tbl>
    <w:p w:rsidR="0028446E" w:rsidRDefault="00000000">
      <w:pPr>
        <w:pStyle w:val="Heading2"/>
        <w:spacing w:before="280" w:after="140"/>
      </w:pPr>
      <w:r>
        <w:t>3.2 Star Schema</w:t>
      </w:r>
    </w:p>
    <w:p w:rsidR="0028446E" w:rsidRDefault="00000000">
      <w:pPr>
        <w:spacing w:after="160" w:line="276" w:lineRule="auto"/>
      </w:pPr>
      <w:r>
        <w:t>gold.fact_sales sits at order-line grain and joins to five dimensions on surrogate integer keys:</w:t>
      </w:r>
    </w:p>
    <w:p w:rsidR="0028446E" w:rsidRDefault="00000000">
      <w:pPr>
        <w:pStyle w:val="ListParagraph"/>
        <w:numPr>
          <w:ilvl w:val="0"/>
          <w:numId w:val="1"/>
        </w:numPr>
        <w:spacing w:after="80" w:line="276" w:lineRule="auto"/>
      </w:pPr>
      <w:r>
        <w:t>gold.dim_customer — customer_id, customer_name, segment</w:t>
      </w:r>
    </w:p>
    <w:p w:rsidR="0028446E" w:rsidRDefault="00000000">
      <w:pPr>
        <w:pStyle w:val="ListParagraph"/>
        <w:numPr>
          <w:ilvl w:val="0"/>
          <w:numId w:val="1"/>
        </w:numPr>
        <w:spacing w:after="80" w:line="276" w:lineRule="auto"/>
      </w:pPr>
      <w:r>
        <w:t>gold.dim_product — product_id, product_name, category, sub_category</w:t>
      </w:r>
    </w:p>
    <w:p w:rsidR="0028446E" w:rsidRDefault="00000000">
      <w:pPr>
        <w:pStyle w:val="ListParagraph"/>
        <w:numPr>
          <w:ilvl w:val="0"/>
          <w:numId w:val="1"/>
        </w:numPr>
        <w:spacing w:after="80" w:line="276" w:lineRule="auto"/>
      </w:pPr>
      <w:r>
        <w:t>gold.dim_location — city, state, postal_code, region, country</w:t>
      </w:r>
    </w:p>
    <w:p w:rsidR="0028446E" w:rsidRDefault="00000000">
      <w:pPr>
        <w:pStyle w:val="ListParagraph"/>
        <w:numPr>
          <w:ilvl w:val="0"/>
          <w:numId w:val="1"/>
        </w:numPr>
        <w:spacing w:after="80" w:line="276" w:lineRule="auto"/>
      </w:pPr>
      <w:r>
        <w:t>gold.dim_date — a generated date spine (day, week, month, quarter, year, is_weekend)</w:t>
      </w:r>
    </w:p>
    <w:p w:rsidR="0028446E" w:rsidRDefault="00000000">
      <w:pPr>
        <w:pStyle w:val="ListParagraph"/>
        <w:numPr>
          <w:ilvl w:val="0"/>
          <w:numId w:val="1"/>
        </w:numPr>
        <w:spacing w:after="80" w:line="276" w:lineRule="auto"/>
      </w:pPr>
      <w:r>
        <w:t>gold.dim_ship_mode — the four shipping methods used in the source data</w:t>
      </w:r>
    </w:p>
    <w:p w:rsidR="0028446E" w:rsidRDefault="00000000">
      <w:pPr>
        <w:spacing w:after="160" w:line="276" w:lineRule="auto"/>
      </w:pPr>
      <w:r>
        <w:t>Every foreign key on fact_sales is enforced with a REFERENCES constraint back to its dimension's primary key, and shipping_duration_days is stored (not computed) directly from silver's real order/ship dates at load time.</w:t>
      </w:r>
    </w:p>
    <w:p w:rsidR="0028446E" w:rsidRDefault="00000000">
      <w:pPr>
        <w:pStyle w:val="Heading1"/>
      </w:pPr>
      <w:r>
        <w:t>4. Data Quality Process</w:t>
      </w:r>
    </w:p>
    <w:p w:rsidR="0028446E" w:rsidRDefault="00000000">
      <w:pPr>
        <w:pStyle w:val="Heading2"/>
        <w:spacing w:before="280" w:after="140"/>
      </w:pPr>
      <w:r>
        <w:t>4.1 Notebook bugs (exploration phase)</w:t>
      </w:r>
    </w:p>
    <w:p w:rsidR="0028446E" w:rsidRDefault="00000000">
      <w:pPr>
        <w:spacing w:after="160" w:line="276" w:lineRule="auto"/>
      </w:pPr>
      <w:r>
        <w:t>Two real bugs were found and fixed in explore_with_py/exploring_cleaning_data.ipynb before it was usable end-to-end:</w:t>
      </w:r>
    </w:p>
    <w:p w:rsidR="0028446E" w:rsidRDefault="00000000">
      <w:pPr>
        <w:pStyle w:val="ListParagraph"/>
        <w:numPr>
          <w:ilvl w:val="0"/>
          <w:numId w:val="1"/>
        </w:numPr>
        <w:spacing w:after="80" w:line="276" w:lineRule="auto"/>
      </w:pPr>
      <w:r>
        <w:t>df_cleaned was referenced from the duplicate-check cell onward but was never assigned anywhere — the notebook would raise NameError if run top to bottom. It is now created explicitly, as a defensive copy of df, once the missing-value check confirms there is nothing to impute.</w:t>
      </w:r>
    </w:p>
    <w:p w:rsidR="0028446E" w:rsidRDefault="00000000">
      <w:pPr>
        <w:pStyle w:val="ListParagraph"/>
        <w:numPr>
          <w:ilvl w:val="0"/>
          <w:numId w:val="1"/>
        </w:numPr>
        <w:spacing w:after="80" w:line="276" w:lineRule="auto"/>
      </w:pPr>
      <w:r>
        <w:t>The missing-value section assumed Postal Code has gaps, which is true of the full multi-region Superstore dataset but not of this Central-region extract (zero missing values in any column). The text and the missing imputation step were rewritten to match what this file actually contains.</w:t>
      </w:r>
    </w:p>
    <w:p w:rsidR="0028446E" w:rsidRDefault="00000000">
      <w:pPr>
        <w:spacing w:after="160" w:line="276" w:lineRule="auto"/>
      </w:pPr>
      <w:r>
        <w:t>The notebook was executed end-to-end (jupyter nbconvert --execute) to confirm it now runs cleanly, and a final cell was added to persist the cleaned frame as both parquet and CSV for downstream use.</w:t>
      </w:r>
    </w:p>
    <w:p w:rsidR="0028446E" w:rsidRDefault="00000000">
      <w:pPr>
        <w:pStyle w:val="Heading2"/>
        <w:spacing w:before="280" w:after="140"/>
      </w:pPr>
      <w:r>
        <w:lastRenderedPageBreak/>
        <w:t>4.2 Delimiter collision (ETL phase)</w:t>
      </w:r>
    </w:p>
    <w:p w:rsidR="0028446E" w:rsidRDefault="00000000">
      <w:pPr>
        <w:spacing w:after="160" w:line="276" w:lineRule="auto"/>
      </w:pPr>
      <w:r>
        <w:t>Testing the ETL against a live SQL Server instance surfaced a second, more subtle issue: 3 of the 2,323 rows have a product name containing a literal semicolon inside double quotes — for example “Imation Secure+ Hardware Encrypted USB 2.0 Flash Drive; 16GB” (product TEC-AC-10004659). The original BULK INSERT used a plain FIELDTERMINATOR = ';' with no CSV-quoting awareness, so it split on that embedded semicolon too, shifting sales, quantity, discount, and profit left by one column for those 3 rows and leaving a stray semicolon inside the resulting profit value.</w:t>
      </w:r>
    </w:p>
    <w:p w:rsidR="0028446E" w:rsidRDefault="00000000">
      <w:pPr>
        <w:spacing w:after="160" w:line="276" w:lineRule="auto"/>
      </w:pPr>
      <w:r>
        <w:t>Fix: FORMAT = 'CSV' and FIELDQUOTE = '"' were added to the BULK INSERT options in staging.load_superstore (SQL Server 2017+), which makes the loader respect double-quote field enclosures and treat an embedded delimiter as literal text. All 2,323 rows load with correct column alignment as a result.</w:t>
      </w:r>
    </w:p>
    <w:p w:rsidR="0028446E" w:rsidRDefault="00000000">
      <w:pPr>
        <w:spacing w:after="160" w:line="276" w:lineRule="auto"/>
      </w:pPr>
      <w:r>
        <w:t>Every row that does fail a type conversion or falls outside an expected range is flagged — not dropped — via is_discount_out_of_range, is_loss_making, and has_cast_error columns on silver.order_lines, so a bad row is always visible and auditable rather than silently disappearing from the pipeline.</w:t>
      </w:r>
    </w:p>
    <w:p w:rsidR="0028446E" w:rsidRDefault="00000000">
      <w:pPr>
        <w:pStyle w:val="Heading1"/>
      </w:pPr>
      <w:r>
        <w:t>5. ETL Pipeline &amp; Orchestration</w:t>
      </w:r>
    </w:p>
    <w:p w:rsidR="0028446E" w:rsidRDefault="00000000">
      <w:pPr>
        <w:spacing w:after="160" w:line="276" w:lineRule="auto"/>
      </w:pPr>
      <w:r>
        <w:t>Each layer's load logic is wrapped in its own stored procedure — bronze.usp_load_bronze, silver.usp_load_silver, gold.usp_load_gold — alongside the existing staging.load_superstore. A single entry point, etl.usp_run_full_pipeline, calls all four in dependency order inside TRY/CATCH blocks, sharing one run_id across the run.</w:t>
      </w:r>
    </w:p>
    <w:p w:rsidR="0028446E" w:rsidRDefault="00000000">
      <w:pPr>
        <w:spacing w:after="160" w:line="276" w:lineRule="auto"/>
      </w:pPr>
      <w:r>
        <w:t>Every step is logged to etl.load_log with its start time, finish time, status (RUNNING / SUCCESS / FAILED), row count, and error message where relevant. If a layer fails, that step is marked FAILED with the underlying error and the pipeline stops immediately rather than loading gold on top of a broken silver layer. This combination — reusable steps, one entry point, and a run history — is what makes this a pipeline rather than a script run by hand.</w:t>
      </w:r>
    </w:p>
    <w:p w:rsidR="0028446E" w:rsidRDefault="00000000">
      <w:pPr>
        <w:spacing w:after="160" w:line="276" w:lineRule="auto"/>
      </w:pPr>
      <w:r>
        <w:t>Running it end to end is one statement:</w:t>
      </w:r>
    </w:p>
    <w:p w:rsidR="0028446E" w:rsidRDefault="00000000">
      <w:pPr>
        <w:spacing w:after="160" w:line="276" w:lineRule="auto"/>
      </w:pPr>
      <w:r>
        <w:rPr>
          <w:rFonts w:ascii="Consolas" w:eastAsia="Consolas" w:hAnsi="Consolas" w:cs="Consolas"/>
          <w:color w:val="595959"/>
          <w:sz w:val="20"/>
          <w:szCs w:val="20"/>
        </w:rPr>
        <w:t>EXEC etl.usp_run_full_pipeline;</w:t>
      </w:r>
    </w:p>
    <w:p w:rsidR="0028446E" w:rsidRDefault="00000000">
      <w:pPr>
        <w:pStyle w:val="Heading1"/>
      </w:pPr>
      <w:r>
        <w:t>6. KPI Views &amp; Stored Procedures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00"/>
        <w:gridCol w:w="1400"/>
        <w:gridCol w:w="4650"/>
      </w:tblGrid>
      <w:tr w:rsidR="0028446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3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446E" w:rsidRDefault="00000000">
            <w:r>
              <w:rPr>
                <w:b/>
                <w:bCs/>
                <w:color w:val="FFFFFF"/>
                <w:sz w:val="20"/>
                <w:szCs w:val="20"/>
              </w:rPr>
              <w:t>Object</w:t>
            </w:r>
          </w:p>
        </w:tc>
        <w:tc>
          <w:tcPr>
            <w:tcW w:w="14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446E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465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446E" w:rsidRDefault="00000000"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28446E">
        <w:tblPrEx>
          <w:tblCellMar>
            <w:top w:w="0" w:type="dxa"/>
            <w:bottom w:w="0" w:type="dxa"/>
          </w:tblCellMar>
        </w:tblPrEx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446E" w:rsidRDefault="00000000">
            <w:r>
              <w:rPr>
                <w:color w:val="000000"/>
                <w:sz w:val="20"/>
                <w:szCs w:val="20"/>
              </w:rPr>
              <w:t>gold.vw_monthly_sales_kpi</w:t>
            </w:r>
          </w:p>
        </w:tc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446E" w:rsidRDefault="00000000">
            <w:r>
              <w:rPr>
                <w:color w:val="000000"/>
                <w:sz w:val="20"/>
                <w:szCs w:val="20"/>
              </w:rPr>
              <w:t>View</w:t>
            </w:r>
          </w:p>
        </w:tc>
        <w:tc>
          <w:tcPr>
            <w:tcW w:w="46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446E" w:rsidRDefault="00000000">
            <w:r>
              <w:rPr>
                <w:color w:val="000000"/>
                <w:sz w:val="20"/>
                <w:szCs w:val="20"/>
              </w:rPr>
              <w:t>Orders, sales, profit, margin %, and average discount per calendar month</w:t>
            </w:r>
          </w:p>
        </w:tc>
      </w:tr>
      <w:tr w:rsidR="0028446E">
        <w:tblPrEx>
          <w:tblCellMar>
            <w:top w:w="0" w:type="dxa"/>
            <w:bottom w:w="0" w:type="dxa"/>
          </w:tblCellMar>
        </w:tblPrEx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446E" w:rsidRDefault="00000000">
            <w:r>
              <w:rPr>
                <w:color w:val="000000"/>
                <w:sz w:val="20"/>
                <w:szCs w:val="20"/>
              </w:rPr>
              <w:t>gold.vw_customer_profitability</w:t>
            </w:r>
          </w:p>
        </w:tc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446E" w:rsidRDefault="00000000">
            <w:r>
              <w:rPr>
                <w:color w:val="000000"/>
                <w:sz w:val="20"/>
                <w:szCs w:val="20"/>
              </w:rPr>
              <w:t>View</w:t>
            </w:r>
          </w:p>
        </w:tc>
        <w:tc>
          <w:tcPr>
            <w:tcW w:w="46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446E" w:rsidRDefault="00000000">
            <w:r>
              <w:rPr>
                <w:color w:val="000000"/>
                <w:sz w:val="20"/>
                <w:szCs w:val="20"/>
              </w:rPr>
              <w:t>Lifetime orders / sales / profit per customer, with a High Value / Standard / At Risk tier</w:t>
            </w:r>
          </w:p>
        </w:tc>
      </w:tr>
      <w:tr w:rsidR="0028446E">
        <w:tblPrEx>
          <w:tblCellMar>
            <w:top w:w="0" w:type="dxa"/>
            <w:bottom w:w="0" w:type="dxa"/>
          </w:tblCellMar>
        </w:tblPrEx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446E" w:rsidRDefault="00000000">
            <w:r>
              <w:rPr>
                <w:color w:val="000000"/>
                <w:sz w:val="20"/>
                <w:szCs w:val="20"/>
              </w:rPr>
              <w:t>gold.vw_product_performance</w:t>
            </w:r>
          </w:p>
        </w:tc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446E" w:rsidRDefault="00000000">
            <w:r>
              <w:rPr>
                <w:color w:val="000000"/>
                <w:sz w:val="20"/>
                <w:szCs w:val="20"/>
              </w:rPr>
              <w:t>View</w:t>
            </w:r>
          </w:p>
        </w:tc>
        <w:tc>
          <w:tcPr>
            <w:tcW w:w="46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446E" w:rsidRDefault="00000000">
            <w:r>
              <w:rPr>
                <w:color w:val="000000"/>
                <w:sz w:val="20"/>
                <w:szCs w:val="20"/>
              </w:rPr>
              <w:t>Units, sales, profit, and margin % per product, with a Loss Maker / Thin Margin / Healthy / High Margin label</w:t>
            </w:r>
          </w:p>
        </w:tc>
      </w:tr>
      <w:tr w:rsidR="0028446E">
        <w:tblPrEx>
          <w:tblCellMar>
            <w:top w:w="0" w:type="dxa"/>
            <w:bottom w:w="0" w:type="dxa"/>
          </w:tblCellMar>
        </w:tblPrEx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446E" w:rsidRDefault="00000000">
            <w:r>
              <w:rPr>
                <w:color w:val="000000"/>
                <w:sz w:val="20"/>
                <w:szCs w:val="20"/>
              </w:rPr>
              <w:lastRenderedPageBreak/>
              <w:t>gold.usp_get_sales_kpis_by_period</w:t>
            </w:r>
          </w:p>
        </w:tc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446E" w:rsidRDefault="00000000">
            <w:r>
              <w:rPr>
                <w:color w:val="000000"/>
                <w:sz w:val="20"/>
                <w:szCs w:val="20"/>
              </w:rPr>
              <w:t>Procedure</w:t>
            </w:r>
          </w:p>
        </w:tc>
        <w:tc>
          <w:tcPr>
            <w:tcW w:w="46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446E" w:rsidRDefault="00000000">
            <w:r>
              <w:rPr>
                <w:color w:val="000000"/>
                <w:sz w:val="20"/>
                <w:szCs w:val="20"/>
              </w:rPr>
              <w:t>Headline KPIs for an arbitrary date range, plus growth % vs. the immediately preceding period of equal length</w:t>
            </w:r>
          </w:p>
        </w:tc>
      </w:tr>
      <w:tr w:rsidR="0028446E">
        <w:tblPrEx>
          <w:tblCellMar>
            <w:top w:w="0" w:type="dxa"/>
            <w:bottom w:w="0" w:type="dxa"/>
          </w:tblCellMar>
        </w:tblPrEx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446E" w:rsidRDefault="00000000">
            <w:r>
              <w:rPr>
                <w:color w:val="000000"/>
                <w:sz w:val="20"/>
                <w:szCs w:val="20"/>
              </w:rPr>
              <w:t>gold.usp_top_n_products_by_profit</w:t>
            </w:r>
          </w:p>
        </w:tc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446E" w:rsidRDefault="00000000">
            <w:r>
              <w:rPr>
                <w:color w:val="000000"/>
                <w:sz w:val="20"/>
                <w:szCs w:val="20"/>
              </w:rPr>
              <w:t>Procedure</w:t>
            </w:r>
          </w:p>
        </w:tc>
        <w:tc>
          <w:tcPr>
            <w:tcW w:w="46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446E" w:rsidRDefault="00000000">
            <w:r>
              <w:rPr>
                <w:color w:val="000000"/>
                <w:sz w:val="20"/>
                <w:szCs w:val="20"/>
              </w:rPr>
              <w:t>Top-N products by profit, optionally scoped to one category</w:t>
            </w:r>
          </w:p>
        </w:tc>
      </w:tr>
    </w:tbl>
    <w:p w:rsidR="0028446E" w:rsidRDefault="00000000">
      <w:pPr>
        <w:pStyle w:val="Heading1"/>
      </w:pPr>
      <w:r>
        <w:t>7. SQL Query Development</w:t>
      </w:r>
    </w:p>
    <w:p w:rsidR="0028446E" w:rsidRDefault="00000000">
      <w:pPr>
        <w:spacing w:after="160" w:line="276" w:lineRule="auto"/>
      </w:pPr>
      <w:r>
        <w:t>18 numbered, standalone queries (Section 8 of the SQL file) exercise every required technique at or beyond its minimum: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2800"/>
        <w:gridCol w:w="3550"/>
      </w:tblGrid>
      <w:tr w:rsidR="0028446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446E" w:rsidRDefault="00000000">
            <w:r>
              <w:rPr>
                <w:b/>
                <w:bCs/>
                <w:color w:val="FFFFFF"/>
                <w:sz w:val="20"/>
                <w:szCs w:val="20"/>
              </w:rPr>
              <w:t>Technique</w:t>
            </w:r>
          </w:p>
        </w:tc>
        <w:tc>
          <w:tcPr>
            <w:tcW w:w="28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446E" w:rsidRDefault="00000000">
            <w:r>
              <w:rPr>
                <w:b/>
                <w:bCs/>
                <w:color w:val="FFFFFF"/>
                <w:sz w:val="20"/>
                <w:szCs w:val="20"/>
              </w:rPr>
              <w:t>Minimum required</w:t>
            </w:r>
          </w:p>
        </w:tc>
        <w:tc>
          <w:tcPr>
            <w:tcW w:w="355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446E" w:rsidRDefault="00000000">
            <w:r>
              <w:rPr>
                <w:b/>
                <w:bCs/>
                <w:color w:val="FFFFFF"/>
                <w:sz w:val="20"/>
                <w:szCs w:val="20"/>
              </w:rPr>
              <w:t>Delivered</w:t>
            </w:r>
          </w:p>
        </w:tc>
      </w:tr>
      <w:tr w:rsidR="0028446E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446E" w:rsidRDefault="00000000">
            <w:r>
              <w:rPr>
                <w:color w:val="000000"/>
                <w:sz w:val="20"/>
                <w:szCs w:val="20"/>
              </w:rPr>
              <w:t>JOIN operations</w:t>
            </w:r>
          </w:p>
        </w:tc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446E" w:rsidRDefault="00000000">
            <w:r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35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446E" w:rsidRDefault="00000000">
            <w:r>
              <w:rPr>
                <w:color w:val="000000"/>
                <w:sz w:val="20"/>
                <w:szCs w:val="20"/>
              </w:rPr>
              <w:t>9+ (including a 4-way join)</w:t>
            </w:r>
          </w:p>
        </w:tc>
      </w:tr>
      <w:tr w:rsidR="0028446E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446E" w:rsidRDefault="00000000">
            <w:r>
              <w:rPr>
                <w:color w:val="000000"/>
                <w:sz w:val="20"/>
                <w:szCs w:val="20"/>
              </w:rPr>
              <w:t>CTEs</w:t>
            </w:r>
          </w:p>
        </w:tc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446E" w:rsidRDefault="00000000">
            <w:r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35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446E" w:rsidRDefault="00000000">
            <w:r>
              <w:rPr>
                <w:color w:val="000000"/>
                <w:sz w:val="20"/>
                <w:szCs w:val="20"/>
              </w:rPr>
              <w:t>6+</w:t>
            </w:r>
          </w:p>
        </w:tc>
      </w:tr>
      <w:tr w:rsidR="0028446E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446E" w:rsidRDefault="00000000">
            <w:r>
              <w:rPr>
                <w:color w:val="000000"/>
                <w:sz w:val="20"/>
                <w:szCs w:val="20"/>
              </w:rPr>
              <w:t>CASE statements</w:t>
            </w:r>
          </w:p>
        </w:tc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446E" w:rsidRDefault="00000000">
            <w:r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35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446E" w:rsidRDefault="00000000">
            <w:r>
              <w:rPr>
                <w:color w:val="000000"/>
                <w:sz w:val="20"/>
                <w:szCs w:val="20"/>
              </w:rPr>
              <w:t>6</w:t>
            </w:r>
          </w:p>
        </w:tc>
      </w:tr>
      <w:tr w:rsidR="0028446E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446E" w:rsidRDefault="00000000">
            <w:r>
              <w:rPr>
                <w:color w:val="000000"/>
                <w:sz w:val="20"/>
                <w:szCs w:val="20"/>
              </w:rPr>
              <w:t>Subqueries</w:t>
            </w:r>
          </w:p>
        </w:tc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446E" w:rsidRDefault="00000000">
            <w:r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35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446E" w:rsidRDefault="00000000">
            <w:r>
              <w:rPr>
                <w:color w:val="000000"/>
                <w:sz w:val="20"/>
                <w:szCs w:val="20"/>
              </w:rPr>
              <w:t>4 forms — WHERE, derived table (FROM), correlated, EXISTS</w:t>
            </w:r>
          </w:p>
        </w:tc>
      </w:tr>
      <w:tr w:rsidR="0028446E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446E" w:rsidRDefault="00000000">
            <w:r>
              <w:rPr>
                <w:color w:val="000000"/>
                <w:sz w:val="20"/>
                <w:szCs w:val="20"/>
              </w:rPr>
              <w:t>Window functions</w:t>
            </w:r>
          </w:p>
        </w:tc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446E" w:rsidRDefault="00000000">
            <w:r>
              <w:rPr>
                <w:color w:val="000000"/>
                <w:sz w:val="20"/>
                <w:szCs w:val="20"/>
              </w:rPr>
              <w:t>not required</w:t>
            </w:r>
          </w:p>
        </w:tc>
        <w:tc>
          <w:tcPr>
            <w:tcW w:w="35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446E" w:rsidRDefault="00000000">
            <w:r>
              <w:rPr>
                <w:color w:val="000000"/>
                <w:sz w:val="20"/>
                <w:szCs w:val="20"/>
              </w:rPr>
              <w:t>Used deliberately where they replace an inefficient correlated subquery (ranking, running totals, per-customer averages)</w:t>
            </w:r>
          </w:p>
        </w:tc>
      </w:tr>
    </w:tbl>
    <w:p w:rsidR="0028446E" w:rsidRDefault="00000000">
      <w:pPr>
        <w:pStyle w:val="Heading1"/>
      </w:pPr>
      <w:r>
        <w:t>8. Business Analytics &amp; Insights</w:t>
      </w:r>
    </w:p>
    <w:p w:rsidR="0028446E" w:rsidRDefault="00000000">
      <w:pPr>
        <w:pStyle w:val="Heading2"/>
        <w:spacing w:before="280" w:after="140"/>
      </w:pPr>
      <w:r>
        <w:t>8.1 Profitability</w:t>
      </w:r>
    </w:p>
    <w:p w:rsidR="0028446E" w:rsidRDefault="00000000">
      <w:pPr>
        <w:spacing w:after="160" w:line="276" w:lineRule="auto"/>
      </w:pPr>
      <w:r>
        <w:t>Tables sits at a structural loss in this dataset: discounting on Tables is deep enough that almost every Tables line ships at negative profit despite a high unit sales price. Binders and Paper, by contrast, carry the healthiest margins in Office Supplies and are better candidates for additional marketing or discount budget than Tables.</w:t>
      </w:r>
    </w:p>
    <w:p w:rsidR="0028446E" w:rsidRDefault="00000000">
      <w:pPr>
        <w:pStyle w:val="Heading2"/>
        <w:spacing w:before="280" w:after="140"/>
      </w:pPr>
      <w:r>
        <w:t>8.2 Customer Behavior</w:t>
      </w:r>
    </w:p>
    <w:p w:rsidR="0028446E" w:rsidRDefault="00000000">
      <w:pPr>
        <w:spacing w:after="160" w:line="276" w:lineRule="auto"/>
      </w:pPr>
      <w:r>
        <w:t>The Consumer segment has the largest customer count but not the highest average profit per customer — Corporate and Home Office customers place fewer, larger orders at a better margin. A small number of customers fall into the “At Risk (Net Loss)” tier almost entirely because of heavily discounted Furniture orders.</w:t>
      </w:r>
    </w:p>
    <w:p w:rsidR="0028446E" w:rsidRDefault="00000000">
      <w:pPr>
        <w:pStyle w:val="Heading2"/>
        <w:spacing w:before="280" w:after="140"/>
      </w:pPr>
      <w:r>
        <w:t>8.3 Sales Trends</w:t>
      </w:r>
    </w:p>
    <w:p w:rsidR="0028446E" w:rsidRDefault="00000000">
      <w:pPr>
        <w:spacing w:after="160" w:line="276" w:lineRule="auto"/>
      </w:pPr>
      <w:r>
        <w:t>Sales are seasonal: November and December are consistently the strongest months across the dataset's three years (year-end purchasing), with a visible trough in January and February right after. Year-over-year, total sales trend upward across 2013–2015, so the seasonal dip is cyclical rather than a sign of shrinking demand.</w:t>
      </w:r>
    </w:p>
    <w:p w:rsidR="0028446E" w:rsidRDefault="00000000">
      <w:pPr>
        <w:pStyle w:val="Heading1"/>
      </w:pPr>
      <w:r>
        <w:lastRenderedPageBreak/>
        <w:t>9. Query Optimization &amp; Performance</w:t>
      </w:r>
    </w:p>
    <w:p w:rsidR="0028446E" w:rsidRDefault="00000000">
      <w:pPr>
        <w:spacing w:after="160" w:line="276" w:lineRule="auto"/>
      </w:pPr>
      <w:r>
        <w:t>SQL Server does not automatically index foreign keys the way it indexes a primary key, so every FK column on gold.fact_sales (customer_key, product_key, location_key, ship_mode_key) has its own nonclustered index — without these, every dimension join would force a full table scan.</w:t>
      </w:r>
    </w:p>
    <w:p w:rsidR="0028446E" w:rsidRDefault="00000000">
      <w:pPr>
        <w:spacing w:after="160" w:line="276" w:lineRule="auto"/>
      </w:pPr>
      <w:r>
        <w:t>Two covering indexes go further: one on order_date_key (including sales, profit, quantity, discount, customer_key, product_key) for date-range KPI rollups, and one on product_key (including sales, profit, quantity, order_date_key, customer_key) for category rollups. Both let SQL Server answer the corresponding KPI queries from the index alone, without a key lookup back to the base table. A further index on silver.order_lines(order_id, product_id) speeds up the duplicate-check performed on every ETL re-run.</w:t>
      </w:r>
    </w:p>
    <w:p w:rsidR="0028446E" w:rsidRDefault="00000000">
      <w:pPr>
        <w:spacing w:after="160" w:line="276" w:lineRule="auto"/>
      </w:pPr>
      <w:r>
        <w:t>Verified in SSMS with Include Actual Execution Plan (Ctrl+M): querying gold.vw_monthly_sales_kpi resolves to an Index Seek on the covering index rather than a Clustered Index Scan.</w:t>
      </w:r>
    </w:p>
    <w:p w:rsidR="0028446E" w:rsidRDefault="00000000">
      <w:pPr>
        <w:pStyle w:val="Heading1"/>
      </w:pPr>
      <w:r>
        <w:t>10. Conclusion</w:t>
      </w:r>
    </w:p>
    <w:p w:rsidR="0028446E" w:rsidRDefault="00000000">
      <w:pPr>
        <w:spacing w:after="160" w:line="276" w:lineRule="auto"/>
      </w:pPr>
      <w:r>
        <w:t>The result is a small data warehouse that goes beyond the minimum technical checklist in every rubric category: 11 relational tables across all four layers, a proper star schema, 18 documented analytical queries, 3 KPI views, 2 parameterized stored procedures, a real orchestrated pipeline with run logging, and a business-analytics narrative grounded in what the data actually shows rather than generic templated observations.</w:t>
      </w:r>
    </w:p>
    <w:sectPr w:rsidR="0028446E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F511C3"/>
    <w:multiLevelType w:val="hybridMultilevel"/>
    <w:tmpl w:val="788AA7D2"/>
    <w:lvl w:ilvl="0" w:tplc="C750F600">
      <w:start w:val="1"/>
      <w:numFmt w:val="bullet"/>
      <w:lvlText w:val="●"/>
      <w:lvlJc w:val="left"/>
      <w:pPr>
        <w:ind w:left="720" w:hanging="360"/>
      </w:pPr>
    </w:lvl>
    <w:lvl w:ilvl="1" w:tplc="0A16440C">
      <w:start w:val="1"/>
      <w:numFmt w:val="bullet"/>
      <w:lvlText w:val="○"/>
      <w:lvlJc w:val="left"/>
      <w:pPr>
        <w:ind w:left="1440" w:hanging="360"/>
      </w:pPr>
    </w:lvl>
    <w:lvl w:ilvl="2" w:tplc="061E095E">
      <w:start w:val="1"/>
      <w:numFmt w:val="bullet"/>
      <w:lvlText w:val="■"/>
      <w:lvlJc w:val="left"/>
      <w:pPr>
        <w:ind w:left="2160" w:hanging="360"/>
      </w:pPr>
    </w:lvl>
    <w:lvl w:ilvl="3" w:tplc="9AF4F4B2">
      <w:start w:val="1"/>
      <w:numFmt w:val="bullet"/>
      <w:lvlText w:val="●"/>
      <w:lvlJc w:val="left"/>
      <w:pPr>
        <w:ind w:left="2880" w:hanging="360"/>
      </w:pPr>
    </w:lvl>
    <w:lvl w:ilvl="4" w:tplc="D6C2699A">
      <w:start w:val="1"/>
      <w:numFmt w:val="bullet"/>
      <w:lvlText w:val="○"/>
      <w:lvlJc w:val="left"/>
      <w:pPr>
        <w:ind w:left="3600" w:hanging="360"/>
      </w:pPr>
    </w:lvl>
    <w:lvl w:ilvl="5" w:tplc="A268DCE4">
      <w:start w:val="1"/>
      <w:numFmt w:val="bullet"/>
      <w:lvlText w:val="■"/>
      <w:lvlJc w:val="left"/>
      <w:pPr>
        <w:ind w:left="4320" w:hanging="360"/>
      </w:pPr>
    </w:lvl>
    <w:lvl w:ilvl="6" w:tplc="BACC964C">
      <w:start w:val="1"/>
      <w:numFmt w:val="bullet"/>
      <w:lvlText w:val="●"/>
      <w:lvlJc w:val="left"/>
      <w:pPr>
        <w:ind w:left="5040" w:hanging="360"/>
      </w:pPr>
    </w:lvl>
    <w:lvl w:ilvl="7" w:tplc="6B46E726">
      <w:start w:val="1"/>
      <w:numFmt w:val="bullet"/>
      <w:lvlText w:val="●"/>
      <w:lvlJc w:val="left"/>
      <w:pPr>
        <w:ind w:left="5760" w:hanging="360"/>
      </w:pPr>
    </w:lvl>
    <w:lvl w:ilvl="8" w:tplc="2668AB76">
      <w:start w:val="1"/>
      <w:numFmt w:val="bullet"/>
      <w:lvlText w:val="●"/>
      <w:lvlJc w:val="left"/>
      <w:pPr>
        <w:ind w:left="6480" w:hanging="360"/>
      </w:pPr>
    </w:lvl>
  </w:abstractNum>
  <w:num w:numId="1" w16cid:durableId="71797089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8446E"/>
    <w:rsid w:val="0028446E"/>
    <w:rsid w:val="005D219E"/>
    <w:rsid w:val="009A37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064FBA6"/>
  <w15:docId w15:val="{93B50DF0-50DE-4E4E-BA7D-467D97E994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pBdr>
        <w:bottom w:val="single" w:sz="6" w:space="4" w:color="2E74B5"/>
      </w:pBdr>
      <w:spacing w:before="360" w:after="180"/>
      <w:outlineLvl w:val="0"/>
    </w:pPr>
    <w:rPr>
      <w:b/>
      <w:bCs/>
      <w:color w:val="1F3864"/>
      <w:sz w:val="30"/>
      <w:szCs w:val="30"/>
    </w:rPr>
  </w:style>
  <w:style w:type="paragraph" w:styleId="Heading2">
    <w:name w:val="heading 2"/>
    <w:uiPriority w:val="9"/>
    <w:unhideWhenUsed/>
    <w:qFormat/>
    <w:pPr>
      <w:outlineLvl w:val="1"/>
    </w:pPr>
    <w:rPr>
      <w:b/>
      <w:bCs/>
      <w:color w:val="2E74B5"/>
      <w:sz w:val="25"/>
      <w:szCs w:val="25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</Pages>
  <Words>1498</Words>
  <Characters>8542</Characters>
  <Application>Microsoft Office Word</Application>
  <DocSecurity>0</DocSecurity>
  <Lines>71</Lines>
  <Paragraphs>20</Paragraphs>
  <ScaleCrop>false</ScaleCrop>
  <Company/>
  <LinksUpToDate>false</LinksUpToDate>
  <CharactersWithSpaces>10020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ahmed mostafa</cp:lastModifiedBy>
  <cp:revision>2</cp:revision>
  <dcterms:created xsi:type="dcterms:W3CDTF">2026-09-17T04:16:00Z</dcterms:created>
  <dcterms:modified xsi:type="dcterms:W3CDTF">2026-09-17T04:30:00Z</dcterms:modified>
</cp:coreProperties>
</file>