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rPr>
          <w:b/>
          <w:bCs/>
          <w:color w:val="1F3864"/>
        </w:rPr>
        <w:t xml:space="preserve">Mini-Project 2 — Advanced SQL Data Warehouse &amp; Business Analytics</w:t>
      </w:r>
    </w:p>
    <w:p>
      <w:pPr>
        <w:spacing w:after="260"/>
        <w:jc w:val="center"/>
      </w:pPr>
      <w:r>
        <w:rPr>
          <w:b/>
          <w:bCs/>
          <w:color w:val="666666"/>
          <w:sz w:val="24"/>
          <w:szCs w:val="24"/>
        </w:rPr>
        <w:t xml:space="preserve">Grading Rubric — 100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bCs/>
                <w:color w:val="222222"/>
                <w:sz w:val="18"/>
                <w:szCs w:val="18"/>
              </w:rPr>
              <w:t xml:space="preserve">Dataset</w:t>
            </w:r>
          </w:p>
        </w:tc>
        <w:tc>
          <w:tcPr>
            <w:tcW w:type="dxa" w:w="7862"/>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Central_Superstore.xlsx</w:t>
            </w:r>
          </w:p>
        </w:tc>
      </w:tr>
      <w:tr>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bCs/>
                <w:color w:val="222222"/>
                <w:sz w:val="18"/>
                <w:szCs w:val="18"/>
              </w:rPr>
              <w:t xml:space="preserve">Tool</w:t>
            </w:r>
          </w:p>
        </w:tc>
        <w:tc>
          <w:tcPr>
            <w:tcW w:type="dxa" w:w="7862"/>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SQL Server / MySQL / PostgreSQL</w:t>
            </w:r>
          </w:p>
        </w:tc>
      </w:tr>
      <w:tr>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bCs/>
                <w:color w:val="222222"/>
                <w:sz w:val="18"/>
                <w:szCs w:val="18"/>
              </w:rPr>
              <w:t xml:space="preserve">Total Marks</w:t>
            </w:r>
          </w:p>
        </w:tc>
        <w:tc>
          <w:tcPr>
            <w:tcW w:type="dxa" w:w="7862"/>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100</w:t>
            </w:r>
          </w:p>
        </w:tc>
      </w:tr>
    </w:tbl>
    <w:p>
      <w:pPr>
        <w:pStyle w:val="Heading1"/>
        <w:pBdr>
          <w:bottom w:val="single" w:color="1F3864" w:sz="6" w:space="4"/>
        </w:pBdr>
        <w:spacing w:after="140" w:before="320"/>
      </w:pPr>
      <w:r>
        <w:rPr>
          <w:b/>
          <w:bCs/>
          <w:color w:val="1F3864"/>
        </w:rPr>
        <w:t xml:space="preserve">Purpose &amp; Use</w:t>
      </w:r>
    </w:p>
    <w:p>
      <w:pPr>
        <w:spacing w:after="120"/>
      </w:pPr>
      <w:r>
        <w:rPr>
          <w:sz w:val="20"/>
          <w:szCs w:val="20"/>
        </w:rPr>
        <w:t xml:space="preserve">This rubric is used to evaluate student submissions for Mini-Project 2 and should also be shared with students before they begin, so expectations are clear from the start. It maps directly to the required tasks and technical requirements in the project brief: normalizing the dataset into a star schema, writing advanced queries (joins, subqueries, CTEs, CASE statements), building views and stored procedures for KPI reporting, producing business analytics, and optimizing performance.</w:t>
      </w:r>
    </w:p>
    <w:p>
      <w:pPr>
        <w:spacing w:after="120"/>
      </w:pPr>
      <w:r>
        <w:rPr>
          <w:sz w:val="20"/>
          <w:szCs w:val="20"/>
        </w:rPr>
        <w:t xml:space="preserve">Grading note: meeting the minimum technical requirements (see the checklist on the next page) is necessary but not sufficient for full marks. A submission that hits every minimum but shows shallow understanding should be scored in the “Proficient” band, not “Excellent.” Conversely, a submission that misses a mandatory minimum in a category cannot score in the “Excellent” band for that category, regardless of code quality elsewhere.</w:t>
      </w:r>
    </w:p>
    <w:p>
      <w:pPr>
        <w:pStyle w:val="Heading1"/>
        <w:pBdr>
          <w:bottom w:val="single" w:color="1F3864" w:sz="6" w:space="4"/>
        </w:pBdr>
        <w:spacing w:after="140" w:before="320"/>
      </w:pPr>
      <w:r>
        <w:rPr>
          <w:b/>
          <w:bCs/>
          <w:color w:val="1F3864"/>
        </w:rPr>
        <w:t xml:space="preserve">Mandatory Technical Requirements Checklist</w:t>
      </w:r>
    </w:p>
    <w:p>
      <w:pPr>
        <w:spacing w:after="120"/>
      </w:pPr>
      <w:r>
        <w:rPr>
          <w:sz w:val="20"/>
          <w:szCs w:val="20"/>
        </w:rPr>
        <w:t xml:space="preserve">Complete this checklist first for each submission. Any “No” answer caps the related rubric category at the top of the “Developing” band (see Category 1–3 point ranges above) until the requirement is met.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1714"/>
        <w:gridCol w:w="1310"/>
        <w:gridCol w:w="2218"/>
      </w:tblGrid>
      <w:tr>
        <w:trPr>
          <w:tblHeader/>
        </w:trPr>
        <w:tc>
          <w:tcPr>
            <w:tcW w:type="dxa" w:w="4838"/>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Required SQL Element</w:t>
            </w:r>
          </w:p>
        </w:tc>
        <w:tc>
          <w:tcPr>
            <w:tcW w:type="dxa" w:w="1714"/>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Minimum</w:t>
            </w:r>
          </w:p>
        </w:tc>
        <w:tc>
          <w:tcPr>
            <w:tcW w:type="dxa" w:w="131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Met? (Y/N)</w:t>
            </w:r>
          </w:p>
        </w:tc>
        <w:tc>
          <w:tcPr>
            <w:tcW w:type="dxa" w:w="2218"/>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483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Relational tables</w:t>
            </w:r>
          </w:p>
        </w:tc>
        <w:tc>
          <w:tcPr>
            <w:tcW w:type="dxa" w:w="171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5</w:t>
            </w:r>
          </w:p>
        </w:tc>
        <w:tc>
          <w:tcPr>
            <w:tcW w:type="dxa" w:w="131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SQL queries submitted</w:t>
            </w:r>
          </w:p>
        </w:tc>
        <w:tc>
          <w:tcPr>
            <w:tcW w:type="dxa" w:w="171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15</w:t>
            </w:r>
          </w:p>
        </w:tc>
        <w:tc>
          <w:tcPr>
            <w:tcW w:type="dxa" w:w="131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JOIN operations used</w:t>
            </w:r>
          </w:p>
        </w:tc>
        <w:tc>
          <w:tcPr>
            <w:tcW w:type="dxa" w:w="171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3</w:t>
            </w:r>
          </w:p>
        </w:tc>
        <w:tc>
          <w:tcPr>
            <w:tcW w:type="dxa" w:w="131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CTEs (Common Table Expressions) used</w:t>
            </w:r>
          </w:p>
        </w:tc>
        <w:tc>
          <w:tcPr>
            <w:tcW w:type="dxa" w:w="171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2</w:t>
            </w:r>
          </w:p>
        </w:tc>
        <w:tc>
          <w:tcPr>
            <w:tcW w:type="dxa" w:w="131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Stored procedure(s) created</w:t>
            </w:r>
          </w:p>
        </w:tc>
        <w:tc>
          <w:tcPr>
            <w:tcW w:type="dxa" w:w="171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1</w:t>
            </w:r>
          </w:p>
        </w:tc>
        <w:tc>
          <w:tcPr>
            <w:tcW w:type="dxa" w:w="131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SQL view(s) created</w:t>
            </w:r>
          </w:p>
        </w:tc>
        <w:tc>
          <w:tcPr>
            <w:tcW w:type="dxa" w:w="171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Minimum 1</w:t>
            </w:r>
          </w:p>
        </w:tc>
        <w:tc>
          <w:tcPr>
            <w:tcW w:type="dxa" w:w="131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CASE statement(s) used</w:t>
            </w:r>
          </w:p>
        </w:tc>
        <w:tc>
          <w:tcPr>
            <w:tcW w:type="dxa" w:w="171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At least 1</w:t>
            </w:r>
          </w:p>
        </w:tc>
        <w:tc>
          <w:tcPr>
            <w:tcW w:type="dxa" w:w="131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Subquery(ies) used</w:t>
            </w:r>
          </w:p>
        </w:tc>
        <w:tc>
          <w:tcPr>
            <w:tcW w:type="dxa" w:w="171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At least 1</w:t>
            </w:r>
          </w:p>
        </w:tc>
        <w:tc>
          <w:tcPr>
            <w:tcW w:type="dxa" w:w="131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Primary/foreign key relationships defined</w:t>
            </w:r>
          </w:p>
        </w:tc>
        <w:tc>
          <w:tcPr>
            <w:tcW w:type="dxa" w:w="171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Present</w:t>
            </w:r>
          </w:p>
        </w:tc>
        <w:tc>
          <w:tcPr>
            <w:tcW w:type="dxa" w:w="131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483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Star schema (fact + dimension tables)</w:t>
            </w:r>
          </w:p>
        </w:tc>
        <w:tc>
          <w:tcPr>
            <w:tcW w:type="dxa" w:w="171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Present</w:t>
            </w:r>
          </w:p>
        </w:tc>
        <w:tc>
          <w:tcPr>
            <w:tcW w:type="dxa" w:w="131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c>
          <w:tcPr>
            <w:tcW w:type="dxa" w:w="2218"/>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bl>
    <w:p>
      <w:pPr>
        <w:pStyle w:val="Heading1"/>
        <w:pBdr>
          <w:bottom w:val="single" w:color="1F3864" w:sz="6" w:space="4"/>
        </w:pBdr>
        <w:spacing w:after="140" w:before="320"/>
      </w:pPr>
      <w:r>
        <w:rPr>
          <w:b/>
          <w:bCs/>
          <w:color w:val="1F3864"/>
        </w:rPr>
        <w:t xml:space="preserve">Scoring Summary</w:t>
      </w:r>
    </w:p>
    <w:p>
      <w:pPr>
        <w:spacing w:after="120"/>
      </w:pPr>
      <w:r>
        <w:rPr>
          <w:sz w:val="20"/>
          <w:szCs w:val="20"/>
        </w:rPr>
        <w:t xml:space="preserve">Use this table to record the final score awarded in each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2016"/>
        <w:gridCol w:w="2520"/>
      </w:tblGrid>
      <w:tr>
        <w:trPr>
          <w:tblHeader/>
        </w:trPr>
        <w:tc>
          <w:tcPr>
            <w:tcW w:type="dxa" w:w="5544"/>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Rubric Category</w:t>
            </w:r>
          </w:p>
        </w:tc>
        <w:tc>
          <w:tcPr>
            <w:tcW w:type="dxa" w:w="2016"/>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 Possible</w:t>
            </w:r>
          </w:p>
        </w:tc>
        <w:tc>
          <w:tcPr>
            <w:tcW w:type="dxa" w:w="252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 Awarded</w:t>
            </w:r>
          </w:p>
        </w:tc>
      </w:tr>
      <w:tr>
        <w:tc>
          <w:tcPr>
            <w:tcW w:type="dxa" w:w="554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1. Data Modeling &amp; Database Design</w:t>
            </w:r>
          </w:p>
        </w:tc>
        <w:tc>
          <w:tcPr>
            <w:tcW w:type="dxa" w:w="2016"/>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20</w:t>
            </w:r>
          </w:p>
        </w:tc>
        <w:tc>
          <w:tcPr>
            <w:tcW w:type="dxa" w:w="252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2. SQL Query Development (Joins, Subqueries, CTEs, CASE)</w:t>
            </w:r>
          </w:p>
        </w:tc>
        <w:tc>
          <w:tcPr>
            <w:tcW w:type="dxa" w:w="2016"/>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30</w:t>
            </w:r>
          </w:p>
        </w:tc>
        <w:tc>
          <w:tcPr>
            <w:tcW w:type="dxa" w:w="252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3. SQL Views &amp; Stored Procedures (KPI Calculations)</w:t>
            </w:r>
          </w:p>
        </w:tc>
        <w:tc>
          <w:tcPr>
            <w:tcW w:type="dxa" w:w="2016"/>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15</w:t>
            </w:r>
          </w:p>
        </w:tc>
        <w:tc>
          <w:tcPr>
            <w:tcW w:type="dxa" w:w="252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4. Business Analytics &amp; Insights</w:t>
            </w:r>
          </w:p>
        </w:tc>
        <w:tc>
          <w:tcPr>
            <w:tcW w:type="dxa" w:w="2016"/>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20</w:t>
            </w:r>
          </w:p>
        </w:tc>
        <w:tc>
          <w:tcPr>
            <w:tcW w:type="dxa" w:w="252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5. Query Optimization &amp; Performance</w:t>
            </w:r>
          </w:p>
        </w:tc>
        <w:tc>
          <w:tcPr>
            <w:tcW w:type="dxa" w:w="2016"/>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center"/>
            </w:pPr>
            <w:r>
              <w:rPr>
                <w:b w:val="false"/>
                <w:bCs w:val="false"/>
                <w:color w:val="222222"/>
                <w:sz w:val="18"/>
                <w:szCs w:val="18"/>
              </w:rPr>
              <w:t xml:space="preserve">10</w:t>
            </w:r>
          </w:p>
        </w:tc>
        <w:tc>
          <w:tcPr>
            <w:tcW w:type="dxa" w:w="2520"/>
            <w:tcBorders>
              <w:top w:val="single" w:color="AAAAAA" w:sz="2"/>
              <w:left w:val="single" w:color="AAAAAA" w:sz="2"/>
              <w:bottom w:val="single" w:color="AAAAAA" w:sz="2"/>
              <w:right w:val="single" w:color="AAAAAA" w:sz="2"/>
            </w:tcBorders>
            <w:shd w:fill="FFFFFF"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6. Documentation &amp; Presentation</w:t>
            </w:r>
          </w:p>
        </w:tc>
        <w:tc>
          <w:tcPr>
            <w:tcW w:type="dxa" w:w="2016"/>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center"/>
            </w:pPr>
            <w:r>
              <w:rPr>
                <w:b w:val="false"/>
                <w:bCs w:val="false"/>
                <w:color w:val="222222"/>
                <w:sz w:val="18"/>
                <w:szCs w:val="18"/>
              </w:rPr>
              <w:t xml:space="preserve">5</w:t>
            </w:r>
          </w:p>
        </w:tc>
        <w:tc>
          <w:tcPr>
            <w:tcW w:type="dxa" w:w="252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r>
        <w:tc>
          <w:tcPr>
            <w:tcW w:type="dxa" w:w="5544"/>
            <w:tcBorders>
              <w:top w:val="single" w:color="AAAAAA" w:sz="2"/>
              <w:left w:val="single" w:color="AAAAAA" w:sz="2"/>
              <w:bottom w:val="single" w:color="AAAAAA" w:sz="2"/>
              <w:right w:val="single" w:color="AAAAAA" w:sz="2"/>
            </w:tcBorders>
            <w:shd w:fill="B8CCE4" w:color="auto" w:val="clear"/>
            <w:tcMar>
              <w:top w:type="dxa" w:w="80"/>
              <w:left w:type="dxa" w:w="100"/>
              <w:bottom w:type="dxa" w:w="80"/>
              <w:right w:type="dxa" w:w="100"/>
            </w:tcMar>
            <w:vAlign w:val="center"/>
          </w:tcPr>
          <w:p>
            <w:pPr>
              <w:jc w:val="left"/>
            </w:pPr>
            <w:r>
              <w:rPr>
                <w:b/>
                <w:bCs/>
                <w:color w:val="222222"/>
                <w:sz w:val="18"/>
                <w:szCs w:val="18"/>
              </w:rPr>
              <w:t xml:space="preserve">TOTAL</w:t>
            </w:r>
          </w:p>
        </w:tc>
        <w:tc>
          <w:tcPr>
            <w:tcW w:type="dxa" w:w="2016"/>
            <w:tcBorders>
              <w:top w:val="single" w:color="AAAAAA" w:sz="2"/>
              <w:left w:val="single" w:color="AAAAAA" w:sz="2"/>
              <w:bottom w:val="single" w:color="AAAAAA" w:sz="2"/>
              <w:right w:val="single" w:color="AAAAAA" w:sz="2"/>
            </w:tcBorders>
            <w:shd w:fill="B8CCE4" w:color="auto" w:val="clear"/>
            <w:tcMar>
              <w:top w:type="dxa" w:w="80"/>
              <w:left w:type="dxa" w:w="100"/>
              <w:bottom w:type="dxa" w:w="80"/>
              <w:right w:type="dxa" w:w="100"/>
            </w:tcMar>
            <w:vAlign w:val="center"/>
          </w:tcPr>
          <w:p>
            <w:pPr>
              <w:jc w:val="center"/>
            </w:pPr>
            <w:r>
              <w:rPr>
                <w:b/>
                <w:bCs/>
                <w:color w:val="222222"/>
                <w:sz w:val="18"/>
                <w:szCs w:val="18"/>
              </w:rPr>
              <w:t xml:space="preserve">100</w:t>
            </w:r>
          </w:p>
        </w:tc>
        <w:tc>
          <w:tcPr>
            <w:tcW w:type="dxa" w:w="2520"/>
            <w:tcBorders>
              <w:top w:val="single" w:color="AAAAAA" w:sz="2"/>
              <w:left w:val="single" w:color="AAAAAA" w:sz="2"/>
              <w:bottom w:val="single" w:color="AAAAAA" w:sz="2"/>
              <w:right w:val="single" w:color="AAAAAA" w:sz="2"/>
            </w:tcBorders>
            <w:shd w:fill="B8CCE4" w:color="auto" w:val="clear"/>
            <w:tcMar>
              <w:top w:type="dxa" w:w="80"/>
              <w:left w:type="dxa" w:w="100"/>
              <w:bottom w:type="dxa" w:w="80"/>
              <w:right w:type="dxa" w:w="100"/>
            </w:tcMar>
            <w:vAlign w:val="center"/>
          </w:tcPr>
          <w:p>
            <w:pPr>
              <w:jc w:val="left"/>
            </w:pPr>
            <w:r>
              <w:rPr>
                <w:b w:val="false"/>
                <w:bCs w:val="false"/>
                <w:color w:val="222222"/>
                <w:sz w:val="18"/>
                <w:szCs w:val="18"/>
              </w:rPr>
              <w:t xml:space="preserve"/>
            </w:r>
          </w:p>
        </w:tc>
      </w:tr>
    </w:tbl>
    <w:p>
      <w:pPr>
        <w:pStyle w:val="Heading1"/>
        <w:pBdr>
          <w:bottom w:val="single" w:color="1F3864" w:sz="6" w:space="4"/>
        </w:pBdr>
        <w:spacing w:after="140" w:before="320"/>
      </w:pPr>
      <w:r>
        <w:rPr>
          <w:b/>
          <w:bCs/>
          <w:color w:val="1F3864"/>
        </w:rPr>
        <w:t xml:space="preserve">Detailed Rubric</w:t>
      </w:r>
    </w:p>
    <w:p>
      <w:pPr>
        <w:spacing w:after="80" w:before="220"/>
      </w:pPr>
      <w:r>
        <w:rPr>
          <w:b/>
          <w:bCs/>
          <w:color w:val="1F3864"/>
          <w:sz w:val="21"/>
          <w:szCs w:val="21"/>
        </w:rPr>
        <w:t xml:space="preserve">1. Data Modeling &amp; Database Design</w:t>
      </w:r>
      <w:r>
        <w:rPr>
          <w:b/>
          <w:bCs/>
          <w:color w:val="666666"/>
          <w:sz w:val="21"/>
          <w:szCs w:val="21"/>
        </w:rPr>
        <w:t xml:space="preserve">  (20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18–20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Fully normalized schema with correctly identified fact and dimension tables. All primary/foreign key relationships are properly defined and enforced. Star schema is clearly implemented with 5+ well-structured relational tables, reflecting strong understanding of dimensional modeling.</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14–17</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Fact and dimension tables are mostly correct with only minor normalization issues. Primary/foreign key relationships are defined with minor gaps. Star schema is present and meets the minimum of 5 tables.</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10–13</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Schema is only partially normalized; some fact/dimension tables are misclassified. Key relationships are incomplete or inconsistent. Fewer than 5 tables, or the schema structure is unclear.</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0–9</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No clear fact/dimension separation. Key relationships are missing or incorrect. Schema does not reflect a star schema model.</w:t>
            </w:r>
          </w:p>
        </w:tc>
      </w:tr>
    </w:tbl>
    <w:p>
      <w:pPr>
        <w:spacing w:after="80" w:before="220"/>
      </w:pPr>
      <w:r>
        <w:rPr>
          <w:b/>
          <w:bCs/>
          <w:color w:val="1F3864"/>
          <w:sz w:val="21"/>
          <w:szCs w:val="21"/>
        </w:rPr>
        <w:t xml:space="preserve">2. SQL Query Development (Joins, Subqueries, CTEs, CASE)</w:t>
      </w:r>
      <w:r>
        <w:rPr>
          <w:b/>
          <w:bCs/>
          <w:color w:val="666666"/>
          <w:sz w:val="21"/>
          <w:szCs w:val="21"/>
        </w:rPr>
        <w:t xml:space="preserve">  (30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27–30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15+ well-written, correct queries. 3+ JOIN operations used purposefully; subqueries used appropriately; 2+ CTEs correctly implemented; CASE statements used for meaningful business logic. Queries are efficient and clearly written.</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21–26</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Meets all minimum requirements (≥15 queries, ≥3 joins, ≥2 CTEs, at least one CASE statement and one subquery) with generally correct syntax and logic; only minor errors or inefficiencies.</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15–20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Close to but below the minimum in one or more technique categories (e.g., fewer than 3 joins or fewer than 2 CTEs). Some queries contain logical or syntax errors.</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0–14</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Falls well short of the minimum query count, or omits a required technique (joins, subqueries, CTEs, or CASE statements) entirely. Frequent syntax or logic errors.</w:t>
            </w:r>
          </w:p>
        </w:tc>
      </w:tr>
    </w:tbl>
    <w:p>
      <w:pPr>
        <w:spacing w:after="80" w:before="220"/>
      </w:pPr>
      <w:r>
        <w:rPr>
          <w:b/>
          <w:bCs/>
          <w:color w:val="1F3864"/>
          <w:sz w:val="21"/>
          <w:szCs w:val="21"/>
        </w:rPr>
        <w:t xml:space="preserve">3. SQL Views &amp; Stored Procedures (KPI Calculations)</w:t>
      </w:r>
      <w:r>
        <w:rPr>
          <w:b/>
          <w:bCs/>
          <w:color w:val="666666"/>
          <w:sz w:val="21"/>
          <w:szCs w:val="21"/>
        </w:rPr>
        <w:t xml:space="preserve">  (15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14–15</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At least one well-designed SQL view and one stored procedure, both directly supporting KPI calculations. Procedure includes appropriate parameters/logic; code is reusable and well-organized.</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11–13</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View and stored procedure are both present and functional; KPI logic is correct but the implementation is basic.</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7–10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Only a view or only a stored procedure is present and functional, or both are present but contain errors or have limited relevance to KPI reporting.</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0–6</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No functional view or stored procedure, or neither supports a KPI calculation.</w:t>
            </w:r>
          </w:p>
        </w:tc>
      </w:tr>
    </w:tbl>
    <w:p>
      <w:pPr>
        <w:spacing w:after="80" w:before="220"/>
      </w:pPr>
      <w:r>
        <w:rPr>
          <w:b/>
          <w:bCs/>
          <w:color w:val="1F3864"/>
          <w:sz w:val="21"/>
          <w:szCs w:val="21"/>
        </w:rPr>
        <w:t xml:space="preserve">4. Business Analytics &amp; Insights</w:t>
      </w:r>
      <w:r>
        <w:rPr>
          <w:b/>
          <w:bCs/>
          <w:color w:val="666666"/>
          <w:sz w:val="21"/>
          <w:szCs w:val="21"/>
        </w:rPr>
        <w:t xml:space="preserve">  (20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18–20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Clear, well-supported analysis of profitability, customer behavior, and sales trends. Insights are data-driven, specific, and tied directly to query results, presented in a way that would inform executive decision-making.</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14–17</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All three analytical areas (profitability, customer behavior, sales trends) are addressed with reasonable insights supported by query output.</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10–13</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One or more analytical areas are addressed only superficially or with weak connection to the underlying data.</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0–9</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Analytical areas are missing, largely unsupported by data, or not addressed.</w:t>
            </w:r>
          </w:p>
        </w:tc>
      </w:tr>
    </w:tbl>
    <w:p>
      <w:pPr>
        <w:spacing w:after="80" w:before="220"/>
      </w:pPr>
      <w:r>
        <w:rPr>
          <w:b/>
          <w:bCs/>
          <w:color w:val="1F3864"/>
          <w:sz w:val="21"/>
          <w:szCs w:val="21"/>
        </w:rPr>
        <w:t xml:space="preserve">5. Query Optimization &amp; Performance</w:t>
      </w:r>
      <w:r>
        <w:rPr>
          <w:b/>
          <w:bCs/>
          <w:color w:val="666666"/>
          <w:sz w:val="21"/>
          <w:szCs w:val="21"/>
        </w:rPr>
        <w:t xml:space="preserve">  (10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9–10</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Clear evidence of optimization (e.g., indexing rationale, execution plan review, efficient join/filter ordering, avoidance of unnecessary subqueries); choices are explained.</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7–8</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Some optimization techniques are applied or discussed, with reasonable justification.</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4–6</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Minimal or superficial attempt at optimization, with little justification given.</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0–3</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No evidence that query or database performance was considered.</w:t>
            </w:r>
          </w:p>
        </w:tc>
      </w:tr>
    </w:tbl>
    <w:p>
      <w:pPr>
        <w:spacing w:after="80" w:before="220"/>
      </w:pPr>
      <w:r>
        <w:rPr>
          <w:b/>
          <w:bCs/>
          <w:color w:val="1F3864"/>
          <w:sz w:val="21"/>
          <w:szCs w:val="21"/>
        </w:rPr>
        <w:t xml:space="preserve">6. Documentation &amp; Presentation</w:t>
      </w:r>
      <w:r>
        <w:rPr>
          <w:b/>
          <w:bCs/>
          <w:color w:val="666666"/>
          <w:sz w:val="21"/>
          <w:szCs w:val="21"/>
        </w:rPr>
        <w:t xml:space="preserve">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28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Level</w:t>
            </w:r>
          </w:p>
        </w:tc>
        <w:tc>
          <w:tcPr>
            <w:tcW w:type="dxa" w:w="130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Points</w:t>
            </w:r>
          </w:p>
        </w:tc>
        <w:tc>
          <w:tcPr>
            <w:tcW w:type="dxa" w:w="7280"/>
            <w:tcBorders>
              <w:top w:val="single" w:color="AAAAAA" w:sz="2"/>
              <w:left w:val="single" w:color="AAAAAA" w:sz="2"/>
              <w:bottom w:val="single" w:color="AAAAAA" w:sz="2"/>
              <w:right w:val="single" w:color="AAAAAA" w:sz="2"/>
            </w:tcBorders>
            <w:shd w:fill="1F3864" w:color="auto" w:val="clear"/>
            <w:tcMar>
              <w:top w:type="dxa" w:w="80"/>
              <w:left w:type="dxa" w:w="100"/>
              <w:bottom w:type="dxa" w:w="80"/>
              <w:right w:type="dxa" w:w="100"/>
            </w:tcMar>
            <w:vAlign w:val="center"/>
          </w:tcPr>
          <w:p>
            <w:r>
              <w:rPr>
                <w:b/>
                <w:bCs/>
                <w:color w:val="FFFFFF"/>
                <w:sz w:val="19"/>
                <w:szCs w:val="19"/>
              </w:rPr>
              <w:t xml:space="preserve">Descriptor</w:t>
            </w:r>
          </w:p>
        </w:tc>
      </w:tr>
      <w:tr>
        <w:tc>
          <w:tcPr>
            <w:tcW w:type="dxa" w:w="1500"/>
            <w:tcBorders>
              <w:top w:val="single" w:color="AAAAAA" w:sz="2"/>
              <w:left w:val="single" w:color="AAAAAA" w:sz="2"/>
              <w:bottom w:val="single" w:color="AAAAAA" w:sz="2"/>
              <w:right w:val="single" w:color="AAAAAA" w:sz="2"/>
            </w:tcBorders>
            <w:shd w:fill="E2EFDA" w:color="auto" w:val="clear"/>
            <w:tcMar>
              <w:top w:type="dxa" w:w="80"/>
              <w:left w:type="dxa" w:w="100"/>
              <w:bottom w:type="dxa" w:w="80"/>
              <w:right w:type="dxa" w:w="100"/>
            </w:tcMar>
            <w:vAlign w:val="center"/>
          </w:tcPr>
          <w:p>
            <w:pPr>
              <w:jc w:val="left"/>
            </w:pPr>
            <w:r>
              <w:rPr>
                <w:b/>
                <w:bCs/>
                <w:color w:val="222222"/>
                <w:sz w:val="18"/>
                <w:szCs w:val="18"/>
              </w:rPr>
              <w:t xml:space="preserve">Excellent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5</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Schema, queries, and reports are clearly documented and organized; queries are commented; submission is professional and easy to follow.</w:t>
            </w:r>
          </w:p>
        </w:tc>
      </w:tr>
      <w:tr>
        <w:tc>
          <w:tcPr>
            <w:tcW w:type="dxa" w:w="1500"/>
            <w:tcBorders>
              <w:top w:val="single" w:color="AAAAAA" w:sz="2"/>
              <w:left w:val="single" w:color="AAAAAA" w:sz="2"/>
              <w:bottom w:val="single" w:color="AAAAAA" w:sz="2"/>
              <w:right w:val="single" w:color="AAAAAA" w:sz="2"/>
            </w:tcBorders>
            <w:shd w:fill="DCE6F1" w:color="auto" w:val="clear"/>
            <w:tcMar>
              <w:top w:type="dxa" w:w="80"/>
              <w:left w:type="dxa" w:w="100"/>
              <w:bottom w:type="dxa" w:w="80"/>
              <w:right w:type="dxa" w:w="100"/>
            </w:tcMar>
            <w:vAlign w:val="center"/>
          </w:tcPr>
          <w:p>
            <w:pPr>
              <w:jc w:val="left"/>
            </w:pPr>
            <w:r>
              <w:rPr>
                <w:b/>
                <w:bCs/>
                <w:color w:val="222222"/>
                <w:sz w:val="18"/>
                <w:szCs w:val="18"/>
              </w:rPr>
              <w:t xml:space="preserve">Proficient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4</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Adequately documented with only minor gaps in organization or commenting.</w:t>
            </w:r>
          </w:p>
        </w:tc>
      </w:tr>
      <w:tr>
        <w:tc>
          <w:tcPr>
            <w:tcW w:type="dxa" w:w="1500"/>
            <w:tcBorders>
              <w:top w:val="single" w:color="AAAAAA" w:sz="2"/>
              <w:left w:val="single" w:color="AAAAAA" w:sz="2"/>
              <w:bottom w:val="single" w:color="AAAAAA" w:sz="2"/>
              <w:right w:val="single" w:color="AAAAAA" w:sz="2"/>
            </w:tcBorders>
            <w:shd w:fill="FCE4D6" w:color="auto" w:val="clear"/>
            <w:tcMar>
              <w:top w:type="dxa" w:w="80"/>
              <w:left w:type="dxa" w:w="100"/>
              <w:bottom w:type="dxa" w:w="80"/>
              <w:right w:type="dxa" w:w="100"/>
            </w:tcMar>
            <w:vAlign w:val="center"/>
          </w:tcPr>
          <w:p>
            <w:pPr>
              <w:jc w:val="left"/>
            </w:pPr>
            <w:r>
              <w:rPr>
                <w:b/>
                <w:bCs/>
                <w:color w:val="222222"/>
                <w:sz w:val="18"/>
                <w:szCs w:val="18"/>
              </w:rPr>
              <w:t xml:space="preserve">Developing</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2–3</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Limited documentation; organization makes the submission difficult to review.</w:t>
            </w:r>
          </w:p>
        </w:tc>
      </w:tr>
      <w:tr>
        <w:tc>
          <w:tcPr>
            <w:tcW w:type="dxa" w:w="1500"/>
            <w:tcBorders>
              <w:top w:val="single" w:color="AAAAAA" w:sz="2"/>
              <w:left w:val="single" w:color="AAAAAA" w:sz="2"/>
              <w:bottom w:val="single" w:color="AAAAAA" w:sz="2"/>
              <w:right w:val="single" w:color="AAAAAA" w:sz="2"/>
            </w:tcBorders>
            <w:shd w:fill="F8CBAD" w:color="auto" w:val="clear"/>
            <w:tcMar>
              <w:top w:type="dxa" w:w="80"/>
              <w:left w:type="dxa" w:w="100"/>
              <w:bottom w:type="dxa" w:w="80"/>
              <w:right w:type="dxa" w:w="100"/>
            </w:tcMar>
            <w:vAlign w:val="center"/>
          </w:tcPr>
          <w:p>
            <w:pPr>
              <w:jc w:val="left"/>
            </w:pPr>
            <w:r>
              <w:rPr>
                <w:b/>
                <w:bCs/>
                <w:color w:val="222222"/>
                <w:sz w:val="18"/>
                <w:szCs w:val="18"/>
              </w:rPr>
              <w:t xml:space="preserve">Insufficient</w:t>
            </w:r>
          </w:p>
        </w:tc>
        <w:tc>
          <w:tcPr>
            <w:tcW w:type="dxa" w:w="130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center"/>
            </w:pPr>
            <w:r>
              <w:rPr>
                <w:b w:val="false"/>
                <w:bCs w:val="false"/>
                <w:color w:val="222222"/>
                <w:sz w:val="18"/>
                <w:szCs w:val="18"/>
              </w:rPr>
              <w:t xml:space="preserve">0–1</w:t>
            </w:r>
          </w:p>
        </w:tc>
        <w:tc>
          <w:tcPr>
            <w:tcW w:type="dxa" w:w="7280"/>
            <w:tcBorders>
              <w:top w:val="single" w:color="AAAAAA" w:sz="2"/>
              <w:left w:val="single" w:color="AAAAAA" w:sz="2"/>
              <w:bottom w:val="single" w:color="AAAAAA" w:sz="2"/>
              <w:right w:val="single" w:color="AAAAAA" w:sz="2"/>
            </w:tcBorders>
            <w:tcMar>
              <w:top w:type="dxa" w:w="80"/>
              <w:left w:type="dxa" w:w="100"/>
              <w:bottom w:type="dxa" w:w="80"/>
              <w:right w:type="dxa" w:w="100"/>
            </w:tcMar>
            <w:vAlign w:val="center"/>
          </w:tcPr>
          <w:p>
            <w:pPr>
              <w:jc w:val="left"/>
            </w:pPr>
            <w:r>
              <w:rPr>
                <w:b w:val="false"/>
                <w:bCs w:val="false"/>
                <w:color w:val="222222"/>
                <w:sz w:val="18"/>
                <w:szCs w:val="18"/>
              </w:rPr>
              <w:t xml:space="preserve">Little to no documentation; submission is disorganized.</w:t>
            </w:r>
          </w:p>
        </w:tc>
      </w:tr>
    </w:tbl>
    <w:p>
      <w:pPr>
        <w:pStyle w:val="Heading1"/>
        <w:pBdr>
          <w:bottom w:val="single" w:color="1F3864" w:sz="6" w:space="4"/>
        </w:pBdr>
        <w:spacing w:after="140" w:before="320"/>
      </w:pPr>
      <w:r>
        <w:rPr>
          <w:b/>
          <w:bCs/>
          <w:color w:val="1F3864"/>
        </w:rPr>
        <w:t xml:space="preserve">Grade Scale Reference</w:t>
      </w:r>
    </w:p>
    <w:p>
      <w:pPr>
        <w:spacing w:after="120"/>
      </w:pPr>
      <w:r>
        <w:rPr>
          <w:sz w:val="20"/>
          <w:szCs w:val="20"/>
        </w:rPr>
        <w:t xml:space="preserve">The four performance levels used throughout this rubric correspond to the following overall bands, consistent with the 100-point scale used across all mini-projects:</w:t>
      </w:r>
    </w:p>
    <w:p>
      <w:pPr>
        <w:spacing w:after="60"/>
      </w:pPr>
      <w:r>
        <w:rPr>
          <w:sz w:val="20"/>
          <w:szCs w:val="20"/>
        </w:rPr>
        <w:t xml:space="preserve">•  Excellent: 90–100 points (A)</w:t>
      </w:r>
    </w:p>
    <w:p>
      <w:pPr>
        <w:spacing w:after="60"/>
      </w:pPr>
      <w:r>
        <w:rPr>
          <w:sz w:val="20"/>
          <w:szCs w:val="20"/>
        </w:rPr>
        <w:t xml:space="preserve">•  Proficient: 75–89 points (B)</w:t>
      </w:r>
    </w:p>
    <w:p>
      <w:pPr>
        <w:spacing w:after="60"/>
      </w:pPr>
      <w:r>
        <w:rPr>
          <w:sz w:val="20"/>
          <w:szCs w:val="20"/>
        </w:rPr>
        <w:t xml:space="preserve">•  Developing: 50–74 points (C)</w:t>
      </w:r>
    </w:p>
    <w:p>
      <w:pPr>
        <w:spacing w:after="60"/>
      </w:pPr>
      <w:r>
        <w:rPr>
          <w:sz w:val="20"/>
          <w:szCs w:val="20"/>
        </w:rPr>
        <w:t xml:space="preserve">•  Insufficient: below 50 points (D/F)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2026-09-04T07:32:47.188Z</dcterms:created>
  <dcterms:modified xsi:type="dcterms:W3CDTF">2026-09-04T07:32:47.200Z</dcterms:modified>
</cp:coreProperties>
</file>

<file path=docProps/custom.xml><?xml version="1.0" encoding="utf-8"?>
<Properties xmlns="http://schemas.openxmlformats.org/officeDocument/2006/custom-properties" xmlns:vt="http://schemas.openxmlformats.org/officeDocument/2006/docPropsVTypes"/>
</file>