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26EF1" w14:textId="12B0D2C9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48"/>
          <w:szCs w:val="48"/>
          <w:lang w:val="en-US"/>
        </w:rPr>
      </w:pPr>
      <w:r w:rsidRPr="004D43A5">
        <w:rPr>
          <w:rFonts w:ascii="Palatino Linotype" w:hAnsi="Palatino Linotype"/>
          <w:b/>
          <w:bCs/>
          <w:sz w:val="48"/>
          <w:szCs w:val="48"/>
          <w:lang w:val="en-US"/>
        </w:rPr>
        <w:t>Platform Not</w:t>
      </w:r>
      <w:r w:rsidRPr="004D43A5">
        <w:rPr>
          <w:rFonts w:ascii="Palatino Linotype" w:hAnsi="Palatino Linotype"/>
          <w:b/>
          <w:bCs/>
          <w:sz w:val="48"/>
          <w:szCs w:val="48"/>
          <w:lang w:val="en-US"/>
        </w:rPr>
        <w:t>e</w:t>
      </w:r>
    </w:p>
    <w:p w14:paraId="78B6EA3D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4"/>
          <w:szCs w:val="24"/>
          <w:lang w:val="en-US"/>
        </w:rPr>
      </w:pP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EGTP-Seq02 (16S rRNA Gene Sequencing)</w:t>
      </w:r>
    </w:p>
    <w:p w14:paraId="5003B9AD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Service Code:</w:t>
      </w:r>
      <w:r w:rsidRPr="004D43A5">
        <w:rPr>
          <w:rFonts w:ascii="Palatino Linotype" w:hAnsi="Palatino Linotype"/>
          <w:sz w:val="24"/>
          <w:szCs w:val="24"/>
          <w:lang w:val="en-US"/>
        </w:rPr>
        <w:t> EGTP-Seq02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Analysis Type:</w:t>
      </w:r>
      <w:r w:rsidRPr="004D43A5">
        <w:rPr>
          <w:rFonts w:ascii="Palatino Linotype" w:hAnsi="Palatino Linotype"/>
          <w:sz w:val="24"/>
          <w:szCs w:val="24"/>
          <w:lang w:val="en-US"/>
        </w:rPr>
        <w:t> Microbial identification via 16S rRNA gene sequencing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Number of samples processed: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11 bacterial strains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</w:p>
    <w:p w14:paraId="1C452C6F" w14:textId="38848C36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Sequencing mode: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Bidirectional (Forward + Reverse)</w:t>
      </w:r>
    </w:p>
    <w:p w14:paraId="6A1CD609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Service Description</w:t>
      </w:r>
    </w:p>
    <w:p w14:paraId="6F4C03D7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Molecular identification of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eleven bacterial isolates</w:t>
      </w:r>
      <w:r w:rsidRPr="004D43A5">
        <w:rPr>
          <w:rFonts w:ascii="Palatino Linotype" w:hAnsi="Palatino Linotype"/>
          <w:sz w:val="24"/>
          <w:szCs w:val="24"/>
          <w:lang w:val="en-US"/>
        </w:rPr>
        <w:t> by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16S rRNA gene sequencing</w:t>
      </w:r>
      <w:r w:rsidRPr="004D43A5">
        <w:rPr>
          <w:rFonts w:ascii="Palatino Linotype" w:hAnsi="Palatino Linotype"/>
          <w:sz w:val="24"/>
          <w:szCs w:val="24"/>
          <w:lang w:val="en-US"/>
        </w:rPr>
        <w:t> using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PCR amplicon Sanger sequencing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The workflow includes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DNA extraction</w:t>
      </w:r>
      <w:r w:rsidRPr="004D43A5">
        <w:rPr>
          <w:rFonts w:ascii="Palatino Linotype" w:hAnsi="Palatino Linotype"/>
          <w:sz w:val="24"/>
          <w:szCs w:val="24"/>
          <w:lang w:val="en-US"/>
        </w:rPr>
        <w:t>,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PCR amplification with universal 16S primers</w:t>
      </w:r>
      <w:r w:rsidRPr="004D43A5">
        <w:rPr>
          <w:rFonts w:ascii="Palatino Linotype" w:hAnsi="Palatino Linotype"/>
          <w:sz w:val="24"/>
          <w:szCs w:val="24"/>
          <w:lang w:val="en-US"/>
        </w:rPr>
        <w:t>,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amplicon purification</w:t>
      </w:r>
      <w:r w:rsidRPr="004D43A5">
        <w:rPr>
          <w:rFonts w:ascii="Palatino Linotype" w:hAnsi="Palatino Linotype"/>
          <w:sz w:val="24"/>
          <w:szCs w:val="24"/>
          <w:lang w:val="en-US"/>
        </w:rPr>
        <w:t>, and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bidirectional sequencing (Forward + Reverse)</w:t>
      </w:r>
      <w:r w:rsidRPr="004D43A5">
        <w:rPr>
          <w:rFonts w:ascii="Palatino Linotype" w:hAnsi="Palatino Linotype"/>
          <w:sz w:val="24"/>
          <w:szCs w:val="24"/>
          <w:lang w:val="en-US"/>
        </w:rPr>
        <w:t> to ensure reliable taxonomic assignment.</w:t>
      </w:r>
    </w:p>
    <w:p w14:paraId="523C3083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Sequence comparison against curated reference databases enables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species-level identification</w:t>
      </w:r>
      <w:r w:rsidRPr="004D43A5">
        <w:rPr>
          <w:rFonts w:ascii="Palatino Linotype" w:hAnsi="Palatino Linotype"/>
          <w:sz w:val="24"/>
          <w:szCs w:val="24"/>
          <w:lang w:val="en-US"/>
        </w:rPr>
        <w:t> when sequence quality and coverage criteria are met; otherwise, results are reported at the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genus level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</w:p>
    <w:p w14:paraId="19A123D7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Processing Notes</w:t>
      </w:r>
    </w:p>
    <w:p w14:paraId="55E8BCCE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• DNA extraction performed using a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commercial extraction kit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 PCR amplification carried out using </w:t>
      </w:r>
      <w:proofErr w:type="spellStart"/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DreamTaq</w:t>
      </w:r>
      <w:proofErr w:type="spellEnd"/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 xml:space="preserve"> Green PCR Master Mix (2X)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 Amplicon quality control assessed by </w:t>
      </w:r>
      <w:proofErr w:type="spellStart"/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ScanDrop</w:t>
      </w:r>
      <w:proofErr w:type="spellEnd"/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 xml:space="preserve"> spectrophotometry</w:t>
      </w:r>
      <w:r w:rsidRPr="004D43A5">
        <w:rPr>
          <w:rFonts w:ascii="Palatino Linotype" w:hAnsi="Palatino Linotype"/>
          <w:sz w:val="24"/>
          <w:szCs w:val="24"/>
          <w:lang w:val="en-US"/>
        </w:rPr>
        <w:t> and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agarose gel electrophoresis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 Sequencing performed in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both forward and reverse directions</w:t>
      </w:r>
      <w:r w:rsidRPr="004D43A5">
        <w:rPr>
          <w:rFonts w:ascii="Palatino Linotype" w:hAnsi="Palatino Linotype"/>
          <w:sz w:val="24"/>
          <w:szCs w:val="24"/>
          <w:lang w:val="en-US"/>
        </w:rPr>
        <w:t>, followed by basic quality verification.</w:t>
      </w:r>
    </w:p>
    <w:p w14:paraId="03F3FA99" w14:textId="26CFC06D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Pricing</w:t>
      </w:r>
    </w:p>
    <w:p w14:paraId="41E1777B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Standard all-inclusive EGTP-Seq02 rate: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13,000 DZD per sample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Initial request:</w:t>
      </w:r>
      <w:r w:rsidRPr="004D43A5">
        <w:rPr>
          <w:rFonts w:ascii="Palatino Linotype" w:hAnsi="Palatino Linotype"/>
          <w:sz w:val="24"/>
          <w:szCs w:val="24"/>
          <w:lang w:val="en-US"/>
        </w:rPr>
        <w:t> 13 bacterial strains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Processed samples: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11 strains</w:t>
      </w:r>
      <w:r w:rsidRPr="004D43A5">
        <w:rPr>
          <w:rFonts w:ascii="Palatino Linotype" w:hAnsi="Palatino Linotype"/>
          <w:sz w:val="24"/>
          <w:szCs w:val="24"/>
          <w:lang w:val="en-US"/>
        </w:rPr>
        <w:t>, adjusted due to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budget limitations</w:t>
      </w:r>
    </w:p>
    <w:p w14:paraId="01B1707F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lastRenderedPageBreak/>
        <w:t>Given the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limited budget</w:t>
      </w:r>
      <w:r w:rsidRPr="004D43A5">
        <w:rPr>
          <w:rFonts w:ascii="Palatino Linotype" w:hAnsi="Palatino Linotype"/>
          <w:sz w:val="24"/>
          <w:szCs w:val="24"/>
          <w:lang w:val="en-US"/>
        </w:rPr>
        <w:t>, the number of samples was reduced from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13 to 11</w:t>
      </w:r>
      <w:r w:rsidRPr="004D43A5">
        <w:rPr>
          <w:rFonts w:ascii="Palatino Linotype" w:hAnsi="Palatino Linotype"/>
          <w:sz w:val="24"/>
          <w:szCs w:val="24"/>
          <w:lang w:val="en-US"/>
        </w:rPr>
        <w:t>, and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multiple discounts</w:t>
      </w:r>
      <w:r w:rsidRPr="004D43A5">
        <w:rPr>
          <w:rFonts w:ascii="Palatino Linotype" w:hAnsi="Palatino Linotype"/>
          <w:sz w:val="24"/>
          <w:szCs w:val="24"/>
          <w:lang w:val="en-US"/>
        </w:rPr>
        <w:t> were applied to ensure that the final cost remained within the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maximum allocated budget</w:t>
      </w:r>
      <w:r w:rsidRPr="004D43A5">
        <w:rPr>
          <w:rFonts w:ascii="Palatino Linotype" w:hAnsi="Palatino Linotype"/>
          <w:sz w:val="24"/>
          <w:szCs w:val="24"/>
          <w:lang w:val="en-US"/>
        </w:rPr>
        <w:t>.</w:t>
      </w:r>
    </w:p>
    <w:p w14:paraId="0F355E34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Standard total for 11 samples: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143,000 DZD</w:t>
      </w:r>
      <w:r w:rsidRPr="004D43A5">
        <w:rPr>
          <w:rFonts w:ascii="Palatino Linotype" w:hAnsi="Palatino Linotype"/>
          <w:sz w:val="24"/>
          <w:szCs w:val="24"/>
          <w:lang w:val="en-US"/>
        </w:rPr>
        <w:br/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Total discount applied: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– 6,000 DZD</w:t>
      </w:r>
    </w:p>
    <w:p w14:paraId="0D6BAEDD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Segoe UI Emoji" w:hAnsi="Segoe UI Emoji" w:cs="Segoe UI Emoji"/>
          <w:sz w:val="24"/>
          <w:szCs w:val="24"/>
          <w:lang w:val="en-US"/>
        </w:rPr>
        <w:t>📌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Final amount billed:</w:t>
      </w:r>
      <w:r w:rsidRPr="004D43A5">
        <w:rPr>
          <w:rFonts w:ascii="Palatino Linotype" w:hAnsi="Palatino Linotype"/>
          <w:sz w:val="24"/>
          <w:szCs w:val="24"/>
          <w:lang w:val="en-US"/>
        </w:rPr>
        <w:t>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137,000 DZD</w:t>
      </w:r>
    </w:p>
    <w:p w14:paraId="772000B7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i/>
          <w:iCs/>
          <w:sz w:val="24"/>
          <w:szCs w:val="24"/>
          <w:lang w:val="en-US"/>
        </w:rPr>
        <w:t>These adjustments and discounts were applied exceptionally to support the doctoral research project and are not applicable to standard or external service requests.</w:t>
      </w:r>
    </w:p>
    <w:p w14:paraId="1F57BA42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Deliverables</w:t>
      </w:r>
    </w:p>
    <w:p w14:paraId="0391475A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•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ABI chromatogram files</w:t>
      </w:r>
      <w:r w:rsidRPr="004D43A5">
        <w:rPr>
          <w:rFonts w:ascii="Palatino Linotype" w:hAnsi="Palatino Linotype"/>
          <w:sz w:val="24"/>
          <w:szCs w:val="24"/>
          <w:lang w:val="en-US"/>
        </w:rPr>
        <w:t> for each sample (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Forward and Reverse reads</w:t>
      </w:r>
      <w:r w:rsidRPr="004D43A5">
        <w:rPr>
          <w:rFonts w:ascii="Palatino Linotype" w:hAnsi="Palatino Linotype"/>
          <w:sz w:val="24"/>
          <w:szCs w:val="24"/>
          <w:lang w:val="en-US"/>
        </w:rPr>
        <w:t>)</w:t>
      </w:r>
    </w:p>
    <w:p w14:paraId="5FB3C753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Estimated Turnaround</w:t>
      </w:r>
    </w:p>
    <w:p w14:paraId="0EF2ABC6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Up to </w:t>
      </w:r>
      <w:r w:rsidRPr="004D43A5">
        <w:rPr>
          <w:rFonts w:ascii="Palatino Linotype" w:hAnsi="Palatino Linotype"/>
          <w:b/>
          <w:bCs/>
          <w:sz w:val="24"/>
          <w:szCs w:val="24"/>
          <w:lang w:val="en-US"/>
        </w:rPr>
        <w:t>20 working days</w:t>
      </w:r>
      <w:r w:rsidRPr="004D43A5">
        <w:rPr>
          <w:rFonts w:ascii="Palatino Linotype" w:hAnsi="Palatino Linotype"/>
          <w:sz w:val="24"/>
          <w:szCs w:val="24"/>
          <w:lang w:val="en-US"/>
        </w:rPr>
        <w:t> from sample acceptance, depending on sequencing workload.</w:t>
      </w:r>
    </w:p>
    <w:p w14:paraId="3D6ACD11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b/>
          <w:bCs/>
          <w:sz w:val="28"/>
          <w:szCs w:val="28"/>
          <w:lang w:val="en-US"/>
        </w:rPr>
      </w:pPr>
      <w:r w:rsidRPr="004D43A5">
        <w:rPr>
          <w:rFonts w:ascii="Palatino Linotype" w:hAnsi="Palatino Linotype"/>
          <w:b/>
          <w:bCs/>
          <w:sz w:val="28"/>
          <w:szCs w:val="28"/>
          <w:lang w:val="en-US"/>
        </w:rPr>
        <w:t>Compliance Statement</w:t>
      </w:r>
    </w:p>
    <w:p w14:paraId="4549D234" w14:textId="77777777" w:rsidR="004D43A5" w:rsidRPr="004D43A5" w:rsidRDefault="004D43A5" w:rsidP="004D43A5">
      <w:pPr>
        <w:spacing w:before="120" w:after="240" w:line="276" w:lineRule="auto"/>
        <w:rPr>
          <w:rFonts w:ascii="Palatino Linotype" w:hAnsi="Palatino Linotype"/>
          <w:sz w:val="24"/>
          <w:szCs w:val="24"/>
          <w:lang w:val="en-US"/>
        </w:rPr>
      </w:pPr>
      <w:r w:rsidRPr="004D43A5">
        <w:rPr>
          <w:rFonts w:ascii="Palatino Linotype" w:hAnsi="Palatino Linotype"/>
          <w:sz w:val="24"/>
          <w:szCs w:val="24"/>
          <w:lang w:val="en-US"/>
        </w:rPr>
        <w:t>All samples complied with PLAGENOR submission, transport, and biosafety requirements. No pathogenic or clinical risk was declared for this project.</w:t>
      </w:r>
    </w:p>
    <w:p w14:paraId="43174F16" w14:textId="77777777" w:rsidR="00BE0B7A" w:rsidRPr="004D43A5" w:rsidRDefault="00BE0B7A" w:rsidP="00BE0B7A">
      <w:pPr>
        <w:rPr>
          <w:rFonts w:ascii="Palatino Linotype" w:hAnsi="Palatino Linotype"/>
          <w:sz w:val="24"/>
          <w:szCs w:val="24"/>
          <w:lang w:val="en-US"/>
        </w:rPr>
      </w:pPr>
    </w:p>
    <w:sectPr w:rsidR="00BE0B7A" w:rsidRPr="004D43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B7A"/>
    <w:rsid w:val="004038B8"/>
    <w:rsid w:val="004D43A5"/>
    <w:rsid w:val="004E1564"/>
    <w:rsid w:val="00904A19"/>
    <w:rsid w:val="00A57A83"/>
    <w:rsid w:val="00AE344C"/>
    <w:rsid w:val="00BE0B7A"/>
    <w:rsid w:val="00C50D39"/>
    <w:rsid w:val="00C75574"/>
    <w:rsid w:val="00CA6AA9"/>
    <w:rsid w:val="00F80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3680"/>
  <w15:chartTrackingRefBased/>
  <w15:docId w15:val="{98830A25-2CBF-4F20-B881-0F786596A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0B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B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B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B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B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B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B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B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B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F8050E"/>
    <w:pPr>
      <w:spacing w:after="0" w:line="240" w:lineRule="auto"/>
    </w:pPr>
    <w:rPr>
      <w:lang w:val="fr-FR"/>
    </w:rPr>
    <w:tblPr/>
  </w:style>
  <w:style w:type="character" w:customStyle="1" w:styleId="Heading1Char">
    <w:name w:val="Heading 1 Char"/>
    <w:basedOn w:val="DefaultParagraphFont"/>
    <w:link w:val="Heading1"/>
    <w:uiPriority w:val="9"/>
    <w:rsid w:val="00BE0B7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B7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B7A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B7A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B7A"/>
    <w:rPr>
      <w:rFonts w:eastAsiaTheme="majorEastAsia" w:cstheme="majorBidi"/>
      <w:color w:val="2F5496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B7A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B7A"/>
    <w:rPr>
      <w:rFonts w:eastAsiaTheme="majorEastAsia" w:cstheme="majorBidi"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B7A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B7A"/>
    <w:rPr>
      <w:rFonts w:eastAsiaTheme="majorEastAsia" w:cstheme="majorBidi"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BE0B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B7A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B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B7A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BE0B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B7A"/>
    <w:rPr>
      <w:i/>
      <w:iCs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BE0B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B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B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B7A"/>
    <w:rPr>
      <w:i/>
      <w:iCs/>
      <w:color w:val="2F5496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BE0B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 MIDOU</dc:creator>
  <cp:keywords/>
  <dc:description/>
  <cp:lastModifiedBy>MED MIDOU</cp:lastModifiedBy>
  <cp:revision>1</cp:revision>
  <dcterms:created xsi:type="dcterms:W3CDTF">2026-03-28T21:02:00Z</dcterms:created>
  <dcterms:modified xsi:type="dcterms:W3CDTF">2026-03-28T22:17:00Z</dcterms:modified>
</cp:coreProperties>
</file>