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N° de la demande de l’analyse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……./2026/IBTIKAR/PLAGENOR/ESSBO                                          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V 01 / 29.10.2025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284" w:firstLine="0"/>
        <w:jc w:val="center"/>
        <w:rPr>
          <w:rFonts w:ascii="Candara" w:cs="Candara" w:eastAsia="Candara" w:hAnsi="Candara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40"/>
          <w:szCs w:val="40"/>
          <w:rtl w:val="0"/>
        </w:rPr>
        <w:t xml:space="preserve">Séchage à froid sous vide - Lyophilisation</w:t>
        <w:br w:type="textWrapping"/>
        <w:t xml:space="preserve">EGTP-Lyoph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ndara" w:cs="Candara" w:eastAsia="Candara" w:hAnsi="Candara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Afin de garantir un traitement optimal de vos échantillons, veuillez remplir ce formulaire avec précision. Tous les champs marqués d’un astérisque (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) sont obligatoires.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1. Informations du demandeur</w:t>
      </w:r>
    </w:p>
    <w:p w:rsidR="00000000" w:rsidDel="00000000" w:rsidP="00000000" w:rsidRDefault="00000000" w:rsidRPr="00000000" w14:paraId="00000008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Nom et prénom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767171"/>
          <w:rtl w:val="0"/>
        </w:rPr>
        <w:t xml:space="preserve">Nom complet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Université / École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Nom de l’établissement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Laboratoire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Nom du laboratoire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Fonction / Poste: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Etudiant/doctorant/Chercheur/MCA…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Adresse e-mail: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E-mail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Numéro de téléphone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Numéro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2. Informations relatives à la demande d’analyse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Type de prestation: 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Lyophilisation des échantillons biologiques.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Cadre de l’analyse :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Choisissez un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rFonts w:ascii="Candara" w:cs="Candara" w:eastAsia="Candara" w:hAnsi="Candara"/>
        </w:rPr>
      </w:pPr>
      <w:bookmarkStart w:colFirst="0" w:colLast="0" w:name="_heading=h.uuo8pulz7szg" w:id="0"/>
      <w:bookmarkEnd w:id="0"/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Titre du projet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color w:val="7b7b7b"/>
          <w:rtl w:val="0"/>
        </w:rPr>
        <w:t xml:space="preserve"> Titre de la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Directeur de recherche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 Nom et prénom du directeur de recherche encadrant le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3. Informations sur les échantillons</w:t>
      </w:r>
    </w:p>
    <w:tbl>
      <w:tblPr>
        <w:tblStyle w:val="Table1"/>
        <w:tblW w:w="10762.0" w:type="dxa"/>
        <w:jc w:val="left"/>
        <w:tblInd w:w="-42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473"/>
        <w:gridCol w:w="700"/>
        <w:gridCol w:w="2076"/>
        <w:gridCol w:w="1701"/>
        <w:gridCol w:w="2127"/>
        <w:gridCol w:w="1984"/>
        <w:gridCol w:w="1701"/>
        <w:tblGridChange w:id="0">
          <w:tblGrid>
            <w:gridCol w:w="473"/>
            <w:gridCol w:w="700"/>
            <w:gridCol w:w="2076"/>
            <w:gridCol w:w="1701"/>
            <w:gridCol w:w="2127"/>
            <w:gridCol w:w="1984"/>
            <w:gridCol w:w="1701"/>
          </w:tblGrid>
        </w:tblGridChange>
      </w:tblGrid>
      <w:tr>
        <w:trPr>
          <w:cantSplit w:val="0"/>
          <w:trHeight w:val="734" w:hRule="atLeast"/>
          <w:tblHeader w:val="1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Type de L’échantillon (Bactérie, plantes) 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Volume/poids initial (ml/g)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Niveau de desiccation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(primaire/secondaire)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Conditions de stockage initiales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 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Remarques particulières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1. Exigences générales sur les échantillons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Les échantillons soumis à la lyophilisation doivent impérativement être purs, correctement étiquetés et fournis dans des récipients rodés adaptés à l'équipement 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Beta 2-8 LSCplus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(Martin Christ, Allemagne).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Récipients recommandés pour lyophilisation</w:t>
      </w:r>
    </w:p>
    <w:p w:rsidR="00000000" w:rsidDel="00000000" w:rsidP="00000000" w:rsidRDefault="00000000" w:rsidRPr="00000000" w14:paraId="00000043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ERLENMEYERS COL RODÉ 29/32 (prioritaire)</w:t>
      </w:r>
    </w:p>
    <w:tbl>
      <w:tblPr>
        <w:tblStyle w:val="Table2"/>
        <w:tblW w:w="9972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134"/>
        <w:gridCol w:w="1556"/>
        <w:gridCol w:w="2130"/>
        <w:gridCol w:w="2742"/>
        <w:gridCol w:w="2410"/>
        <w:tblGridChange w:id="0">
          <w:tblGrid>
            <w:gridCol w:w="1134"/>
            <w:gridCol w:w="1556"/>
            <w:gridCol w:w="2130"/>
            <w:gridCol w:w="2742"/>
            <w:gridCol w:w="2410"/>
          </w:tblGrid>
        </w:tblGridChange>
      </w:tblGrid>
      <w:tr>
        <w:trPr>
          <w:cantSplit w:val="0"/>
          <w:trHeight w:val="48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Volume nominal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Col rodé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Diamètre col (mm)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Remplissage optimal (40%)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Remplissage max (50%)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 ml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29/32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18-22 (ext)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20 ml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25 ml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100 ml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29/32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21-26 (ext)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40 ml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 ml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250 ml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29/32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29-34 (ext)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100 ml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125 ml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500 ml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29/32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29-34 (ext)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200 ml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250 ml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1000 ml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Non standard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36-42 (ext)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400 ml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500 ml</w:t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jc w:val="center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Critères de remplissage 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Remplissage optimal recommandé : 40 % du volume nominal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Remplissage maximum acceptable : 50 % du volume nominal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Ne pas dépasser 50 % : risques de saturation du condenseur, dégradation du vide, et meltback (fusion) de l'échantillon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Ratio Labconco : volume du récipient = 2–3x le volume de l'échantillon liquide (ex. : 1.5 ml d'échantillon </w:t>
      </w:r>
      <w:sdt>
        <w:sdtPr>
          <w:id w:val="-9590209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Candara" w:cs="Candara" w:eastAsia="Candara" w:hAnsi="Candara"/>
          <w:rtl w:val="0"/>
        </w:rPr>
        <w:t xml:space="preserve"> Erlenmeyer 100 ml minimum, remplissage à 40 ml)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Charge totale par batch : Ne pas dépasser 1.6–2.0 kg (40-50 % de la capacité condenseur de 4 kg)</w:t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Autres récipients (volumes maximums)</w:t>
      </w:r>
    </w:p>
    <w:tbl>
      <w:tblPr>
        <w:tblStyle w:val="Table3"/>
        <w:tblW w:w="1005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3404"/>
        <w:gridCol w:w="3125"/>
        <w:gridCol w:w="3521"/>
        <w:tblGridChange w:id="0">
          <w:tblGrid>
            <w:gridCol w:w="3404"/>
            <w:gridCol w:w="3125"/>
            <w:gridCol w:w="35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Type de récipient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Volume max (50%)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Remplissage optimal (40%)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Microtubes (1.5 ml)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0.75 ml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0.6 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Tubes cryo 5 ml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2.5 ml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 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Tubes polypropylène 5 ml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2.5 ml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 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Vials verre 2-10 ml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50 % du volume nominal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40 % du volume nominal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Flacons 10-50 ml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50 % du volume nominal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40 % du volume nominal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Tout échantillon biologique (ex. : cultures microbiennes) doit être récent, viable et exempt de contamination.</w:t>
      </w:r>
    </w:p>
    <w:p w:rsidR="00000000" w:rsidDel="00000000" w:rsidP="00000000" w:rsidRDefault="00000000" w:rsidRPr="00000000" w14:paraId="0000007E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2. Échantillons pathogènes ou d'origine clinique</w:t>
      </w:r>
    </w:p>
    <w:p w:rsidR="00000000" w:rsidDel="00000000" w:rsidP="00000000" w:rsidRDefault="00000000" w:rsidRPr="00000000" w14:paraId="0000007F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Pour tout échantillon pathogène ou d'origine clinique, le demandeur doit joindre un document de déclaration de risque biologique précisant au minimum le niveau de biosécurité requis (ex. : classe 2 ou 3), conformément à la directive 2000/54/CE et aux normes ISO 35001.</w:t>
      </w:r>
    </w:p>
    <w:p w:rsidR="00000000" w:rsidDel="00000000" w:rsidP="00000000" w:rsidRDefault="00000000" w:rsidRPr="00000000" w14:paraId="00000080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En l'absence de ce document, la demande sera systématiquement suspendue ou refusée, conformément aux normes de biosécurité et de transport des substances infectieuses (ADR 6.2, IATA DGR).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Il est strictement interdit d'envoyer des échantillons présentant un risque non déclaré.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3. Responsabilité qualité</w:t>
      </w:r>
    </w:p>
    <w:p w:rsidR="00000000" w:rsidDel="00000000" w:rsidP="00000000" w:rsidRDefault="00000000" w:rsidRPr="00000000" w14:paraId="00000083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La plateforme PLAGENOR assure la congélation des échantillons à −80 °C avant lyophilisation, conformément aux bonnes pratiques de préparation qui recommandent une congélation profonde avant le séchage sous vide pour optimiser la sublimation.</w:t>
      </w:r>
    </w:p>
    <w:p w:rsidR="00000000" w:rsidDel="00000000" w:rsidP="00000000" w:rsidRDefault="00000000" w:rsidRPr="00000000" w14:paraId="00000084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La qualité intrinsèque de l'échantillon (pureté, stabilité, concentration, absence de contamination ou de dégradation avant l'envoi) reste sous l'entière responsabilité du demandeur et conditionne directement la qualité du produit lyophilisé obtenu.</w:t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La plateforme décline toute responsabilité en cas de dégradation préalable de l'échantillon.</w:t>
      </w:r>
    </w:p>
    <w:p w:rsidR="00000000" w:rsidDel="00000000" w:rsidP="00000000" w:rsidRDefault="00000000" w:rsidRPr="00000000" w14:paraId="00000086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4. Mode de livraison et présentation des échantillons</w:t>
      </w:r>
    </w:p>
    <w:p w:rsidR="00000000" w:rsidDel="00000000" w:rsidP="00000000" w:rsidRDefault="00000000" w:rsidRPr="00000000" w14:paraId="00000087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Les échantillons doivent être exclusivement apportés par le demandeur à la plateforme PLAGENOR, accompagnés de la fiche IBTIKAR dûment renseignée et signée.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Aucun autre mode de livraison (transport postal, courrier spécialisé, etc.) ne sera accepté.</w:t>
      </w:r>
    </w:p>
    <w:p w:rsidR="00000000" w:rsidDel="00000000" w:rsidP="00000000" w:rsidRDefault="00000000" w:rsidRPr="00000000" w14:paraId="00000089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5. Conditions thermiques lors de la livraison</w:t>
      </w:r>
    </w:p>
    <w:p w:rsidR="00000000" w:rsidDel="00000000" w:rsidP="00000000" w:rsidRDefault="00000000" w:rsidRPr="00000000" w14:paraId="0000008A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Les conditions thermiques suivantes s'appliquent à TOUS les échantillons, qu'ils soient ordinaires ou à risque biologique.</w:t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Échantillons non congelés (liquides ou suspensions)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Température requise à la livraison : 2–8 °C (tolérance : 4 °C ± 2 °C)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Récipient de transport : contenant isotherme avec éléments réfrigérants (blocs eutectiques ou gels réfrigérants pré-refroidis à 4 °C)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Délai maximal avant livraison : 24 heures après préparation pour garantir la viabilité et l'intégrité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Documentation : le demandeur doit confirmer l'état du récipient à la réception (température, étanchéité)</w:t>
      </w:r>
    </w:p>
    <w:p w:rsidR="00000000" w:rsidDel="00000000" w:rsidP="00000000" w:rsidRDefault="00000000" w:rsidRPr="00000000" w14:paraId="00000090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Échantillons congelés (−20 °C / −80 °C)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Température requise à la livraison : ≤ −20 °C (idéalement −80 °C maintenu)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Récipient de transport : cooler rigide en polystyrène avec glace carbonique (dry ice, UN 1845, ~5 kg) ou blocs eutectiques extrêmement froids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Délai maximal avant livraison : 48–72 heures selon isolation du récipient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Conditionnement obligatoire : emballage externe non hermétiquement scellé pour l'évacuation du CO₂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Étiquetage requis : marquage « GLACE CARBONIQUE – UN 1845 » avec masse en kg</w:t>
      </w:r>
    </w:p>
    <w:p w:rsidR="00000000" w:rsidDel="00000000" w:rsidP="00000000" w:rsidRDefault="00000000" w:rsidRPr="00000000" w14:paraId="00000096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Échantillons déjà lyophilisés (produits finals)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Température : ambiante (15–25 °C) ou réfrigérée (2–8 °C) selon stabilité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Protection obligatoire : récipient hermétiquement scellé, à l'abri de l'humidité (HR &lt; 60 %) et de la lumière directe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Délai : sans limite si conditions respectées</w:t>
      </w:r>
    </w:p>
    <w:p w:rsidR="00000000" w:rsidDel="00000000" w:rsidP="00000000" w:rsidRDefault="00000000" w:rsidRPr="00000000" w14:paraId="0000009A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6. Solvants et substances interdits pour la lyophilisation sur Alpha 3-4 LSCbasic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L'utilisation des substances suivantes est strictement interdite :</w:t>
      </w:r>
    </w:p>
    <w:tbl>
      <w:tblPr>
        <w:tblStyle w:val="Table4"/>
        <w:tblW w:w="1005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782"/>
        <w:gridCol w:w="5020"/>
        <w:gridCol w:w="3248"/>
        <w:tblGridChange w:id="0">
          <w:tblGrid>
            <w:gridCol w:w="1782"/>
            <w:gridCol w:w="5020"/>
            <w:gridCol w:w="32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Substances interdites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Risque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Acides concentrés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TFA &gt;10 % v/v, Acide formique &gt;10 % v/v, Acides halogénés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Corrosion acier 316L, dégradation joints EPDM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Solvants halogénés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Tétrachlorure de carbone, Chloroforme concentré, Dichlorométhane &gt;50 % v/v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Attaque matériaux, gaz toxiques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Solvants réactifs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Pyridine concentrée, Dioxane, Éthers peroxydables (THF vieilli)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Peroxydation, explosion, polymérisation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Solvants très volatils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Acétone pure, Acétonitrile pur, Méthanol pur, Éthanol absolu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Inflammabilité, risque d'explosion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Substances instables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Explosifs, Perchlorates, Azotures, Matières radioactives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Explosion, contamination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DMSO pur &gt;90 %, t-Butanol pur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Crystallisation, colmatage condenseur</w:t>
            </w:r>
          </w:p>
        </w:tc>
      </w:tr>
    </w:tbl>
    <w:p w:rsidR="00000000" w:rsidDel="00000000" w:rsidP="00000000" w:rsidRDefault="00000000" w:rsidRPr="00000000" w14:paraId="000000B1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Seuils de concentration maximale autorisée 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≤ 10 % v/v : Solvant organique en matrice aqueuse </w:t>
      </w:r>
      <w:sdt>
        <w:sdtPr>
          <w:id w:val="1186637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Candara" w:cs="Candara" w:eastAsia="Candara" w:hAnsi="Candara"/>
          <w:rtl w:val="0"/>
        </w:rPr>
        <w:t xml:space="preserve"> Utilisation standard autorisée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10–50 % v/v : Nécessite validation préalable + surveillance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120" w:before="120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&gt; 50 % v/v : Interdit, sauf protocole exceptionnel approuvé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Les solvants non listés ou à concentration &gt; 10 % v/v doivent faire l'objet d'une consultation préalable. Le non-respect entraînera l'annulation de la demande.</w:t>
      </w:r>
    </w:p>
    <w:p w:rsidR="00000000" w:rsidDel="00000000" w:rsidP="00000000" w:rsidRDefault="00000000" w:rsidRPr="00000000" w14:paraId="000000B6">
      <w:pPr>
        <w:spacing w:after="120" w:before="120" w:lineRule="auto"/>
        <w:rPr>
          <w:rFonts w:ascii="Candara" w:cs="Candara" w:eastAsia="Candara" w:hAnsi="Candara"/>
          <w:b w:val="0"/>
          <w:bCs w:val="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Déclaration de responsabilité éthique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andara" w:cs="Candara" w:eastAsia="Candara" w:hAnsi="Candara"/>
          <w:i w:val="1"/>
          <w:iCs w:val="1"/>
          <w:rtl w:val="0"/>
        </w:rPr>
        <w:t xml:space="preserve">La signature de ce formulaire atteste que les échantillons soumis ont été collectés, manipulés et transférés conformément aux normes éthiques et réglementaires en vigueur. Le demandeur en assume l'entière responsabilité quant à la nature, l'origine et l'utilisation des échantillons, y compris toute implication éthique ou juridique liée à leur traitement ou analyse.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ind w:firstLine="720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2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Signature du demandeur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andara" w:cs="Candara" w:eastAsia="Candara" w:hAnsi="Candara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53340</wp:posOffset>
                </wp:positionV>
                <wp:extent cx="3073400" cy="901700"/>
                <wp:effectExtent b="0" l="0" r="0" t="0"/>
                <wp:wrapTopAndBottom distB="0" distT="0"/>
                <wp:docPr id="213483236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15650" y="3335500"/>
                          <a:ext cx="30607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AEABA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53340</wp:posOffset>
                </wp:positionV>
                <wp:extent cx="3073400" cy="901700"/>
                <wp:effectExtent b="0" l="0" r="0" t="0"/>
                <wp:wrapTopAndBottom distB="0" distT="0"/>
                <wp:docPr id="213483236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3400" cy="901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Validation de la demande (Cadre réservé à PLAGENOR) :</w:t>
      </w:r>
    </w:p>
    <w:tbl>
      <w:tblPr>
        <w:tblStyle w:val="Table5"/>
        <w:tblpPr w:leftFromText="180" w:rightFromText="180" w:topFromText="0" w:bottomFromText="0" w:vertAnchor="text" w:horzAnchor="text" w:tblpX="0" w:tblpY="14"/>
        <w:tblW w:w="10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13"/>
        <w:gridCol w:w="5602"/>
        <w:tblGridChange w:id="0">
          <w:tblGrid>
            <w:gridCol w:w="4913"/>
            <w:gridCol w:w="56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Opérateur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Nom et prénom : 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rtl w:val="0"/>
              </w:rPr>
              <w:t xml:space="preserve">Checklist de conformité (à remplir par PLAGENOR) :</w:t>
            </w:r>
          </w:p>
          <w:p w:rsidR="00000000" w:rsidDel="00000000" w:rsidP="00000000" w:rsidRDefault="00000000" w:rsidRPr="00000000" w14:paraId="000000C3">
            <w:pPr>
              <w:rPr>
                <w:rFonts w:ascii="Candara" w:cs="Candara" w:eastAsia="Candara" w:hAnsi="Candara"/>
              </w:rPr>
            </w:pPr>
            <w:sdt>
              <w:sdtPr>
                <w:id w:val="-183107042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Échantillons reçus en bon état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(aspect, température…)</w:t>
            </w:r>
          </w:p>
          <w:p w:rsidR="00000000" w:rsidDel="00000000" w:rsidP="00000000" w:rsidRDefault="00000000" w:rsidRPr="00000000" w14:paraId="000000C4">
            <w:pPr>
              <w:rPr>
                <w:rFonts w:ascii="Candara" w:cs="Candara" w:eastAsia="Candara" w:hAnsi="Candara"/>
              </w:rPr>
            </w:pPr>
            <w:sdt>
              <w:sdtPr>
                <w:id w:val="113398535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Mode de conservation/transport respecté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andara" w:cs="Candara" w:eastAsia="Candara" w:hAnsi="Candara"/>
              </w:rPr>
            </w:pPr>
            <w:sdt>
              <w:sdtPr>
                <w:id w:val="-112770020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Formulaire rempli intégralement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rtl w:val="0"/>
              </w:rPr>
              <w:t xml:space="preserve">Commentaire (optionnel) : 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Date de la réception : 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Signature : 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 des 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Visa du Chef du Service Commun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Visa du Directeur de l’ESSBO</w:t>
            </w:r>
          </w:p>
        </w:tc>
      </w:tr>
    </w:tbl>
    <w:p w:rsidR="00000000" w:rsidDel="00000000" w:rsidP="00000000" w:rsidRDefault="00000000" w:rsidRPr="00000000" w14:paraId="000000D3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800" w:left="1170" w:right="81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-85724</wp:posOffset>
          </wp:positionH>
          <wp:positionV relativeFrom="paragraph">
            <wp:posOffset>-75564</wp:posOffset>
          </wp:positionV>
          <wp:extent cx="6581775" cy="802504"/>
          <wp:effectExtent b="0" l="0" r="0" t="0"/>
          <wp:wrapNone/>
          <wp:docPr id="21348323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57" l="471" r="0" t="-1"/>
                  <a:stretch>
                    <a:fillRect/>
                  </a:stretch>
                </pic:blipFill>
                <pic:spPr>
                  <a:xfrm>
                    <a:off x="0" y="0"/>
                    <a:ext cx="6581775" cy="8025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D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enhypertexte">
    <w:name w:val="Hyperlink"/>
    <w:basedOn w:val="Policepardfaut"/>
    <w:uiPriority w:val="99"/>
    <w:unhideWhenUsed w:val="1"/>
    <w:rsid w:val="00B16681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 w:val="1"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F0263D"/>
  </w:style>
  <w:style w:type="paragraph" w:styleId="Pieddepage">
    <w:name w:val="footer"/>
    <w:basedOn w:val="Normal"/>
    <w:link w:val="PieddepageCar"/>
    <w:uiPriority w:val="99"/>
    <w:unhideWhenUsed w:val="1"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0263D"/>
  </w:style>
  <w:style w:type="character" w:styleId="Textedelespacerserv">
    <w:name w:val="Placeholder Text"/>
    <w:basedOn w:val="Policepardfaut"/>
    <w:uiPriority w:val="99"/>
    <w:semiHidden w:val="1"/>
    <w:rsid w:val="00DF6548"/>
    <w:rPr>
      <w:color w:val="808080"/>
    </w:rPr>
  </w:style>
  <w:style w:type="paragraph" w:styleId="Paragraphedeliste">
    <w:name w:val="List Paragraph"/>
    <w:basedOn w:val="Normal"/>
    <w:uiPriority w:val="34"/>
    <w:qFormat w:val="1"/>
    <w:rsid w:val="00945597"/>
    <w:pPr>
      <w:ind w:left="720"/>
      <w:contextualSpacing w:val="1"/>
    </w:pPr>
  </w:style>
  <w:style w:type="table" w:styleId="Grilledutableau">
    <w:name w:val="Table Grid"/>
    <w:basedOn w:val="TableauNormal"/>
    <w:uiPriority w:val="39"/>
    <w:rsid w:val="00B473A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ev">
    <w:name w:val="Strong"/>
    <w:basedOn w:val="Policepardfaut"/>
    <w:uiPriority w:val="22"/>
    <w:qFormat w:val="1"/>
    <w:rsid w:val="00A02B4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D629AB"/>
    <w:rPr>
      <w:rFonts w:ascii="Times New Roman" w:cs="Times New Roman" w:hAnsi="Times New Roman"/>
      <w:sz w:val="24"/>
      <w:szCs w:val="24"/>
    </w:rPr>
  </w:style>
  <w:style w:type="character" w:styleId="Marquedecommentaire">
    <w:name w:val="annotation reference"/>
    <w:basedOn w:val="Policepardfaut"/>
    <w:uiPriority w:val="99"/>
    <w:semiHidden w:val="1"/>
    <w:unhideWhenUsed w:val="1"/>
    <w:rsid w:val="000019D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0019D7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0019D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0019D7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0019D7"/>
    <w:rPr>
      <w:b w:val="1"/>
      <w:bCs w:val="1"/>
      <w:sz w:val="20"/>
      <w:szCs w:val="20"/>
    </w:rPr>
  </w:style>
  <w:style w:type="table" w:styleId="Tableausimple2">
    <w:name w:val="Plain Table 2"/>
    <w:basedOn w:val="TableauNormal"/>
    <w:uiPriority w:val="42"/>
    <w:rsid w:val="005806C7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OKEnjwyns+ptZuRGB8Y3CrWMQ==">CgMxLjAaJAoBMBIfCh0IB0IZCgVBcmlhbBIQQXJpYWwgVW5pY29kZSBNUxokCgExEh8KHQgHQhkKBUFyaWFsEhBBcmlhbCBVbmljb2RlIE1TGjAKATISKwopCAdCJQoRUXVhdHRyb2NlbnRvIFNhbnMSEEFyaWFsIFVuaWNvZGUgTVMaMAoBMxIrCikIB0IlChFRdWF0dHJvY2VudG8gU2FucxIQQXJpYWwgVW5pY29kZSBNUxowCgE0EisKKQgHQiUKEVF1YXR0cm9jZW50byBTYW5zEhBBcmlhbCBVbmljb2RlIE1TMg5oLnV1bzhwdWx6N3N6ZzgAciExOC1qU3psTUEtOEdlTHBIc1ItSTR0QmNLYzJCcFB0Q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2025-10-13T22:21:00Z</dcterms:created>
  <dc:creator>MERZOUG</dc:creator>
</cp:coreProperties>
</file>