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1C0C" w14:textId="77777777" w:rsidR="00A970B1" w:rsidRPr="00A970B1" w:rsidRDefault="00A970B1" w:rsidP="00A970B1">
      <w:pPr>
        <w:rPr>
          <w:b/>
          <w:bCs/>
          <w:lang w:val="en-US"/>
        </w:rPr>
      </w:pPr>
      <w:r w:rsidRPr="00A970B1">
        <w:rPr>
          <w:b/>
          <w:bCs/>
          <w:lang w:val="en-US"/>
        </w:rPr>
        <w:t>Molecular Identification via Sequencing (PCR Amplification and Sequencing)</w:t>
      </w:r>
    </w:p>
    <w:p w14:paraId="3760BDE5" w14:textId="77777777" w:rsidR="00A970B1" w:rsidRPr="00A970B1" w:rsidRDefault="00A970B1" w:rsidP="00A970B1">
      <w:pPr>
        <w:rPr>
          <w:b/>
          <w:bCs/>
        </w:rPr>
      </w:pPr>
      <w:r w:rsidRPr="00A970B1">
        <w:rPr>
          <w:b/>
          <w:bCs/>
        </w:rPr>
        <w:t>Code: </w:t>
      </w:r>
      <w:r w:rsidRPr="00A970B1">
        <w:t>EGTP-Seq01</w:t>
      </w:r>
    </w:p>
    <w:p w14:paraId="1561C340" w14:textId="77777777" w:rsidR="00A970B1" w:rsidRPr="00A970B1" w:rsidRDefault="00A970B1" w:rsidP="00A970B1">
      <w:pPr>
        <w:rPr>
          <w:b/>
          <w:bCs/>
        </w:rPr>
      </w:pPr>
      <w:r w:rsidRPr="00A970B1">
        <w:rPr>
          <w:b/>
          <w:bCs/>
        </w:rPr>
        <w:t>Taper: </w:t>
      </w:r>
      <w:r w:rsidRPr="00A970B1">
        <w:t>Analysis</w:t>
      </w:r>
    </w:p>
    <w:p w14:paraId="628C258C" w14:textId="77777777" w:rsidR="00A970B1" w:rsidRPr="00A970B1" w:rsidRDefault="00A970B1" w:rsidP="00A970B1">
      <w:pPr>
        <w:rPr>
          <w:b/>
          <w:bCs/>
        </w:rPr>
      </w:pPr>
      <w:r w:rsidRPr="00A970B1">
        <w:rPr>
          <w:b/>
          <w:bCs/>
        </w:rPr>
        <w:t>Prix: </w:t>
      </w:r>
      <w:r w:rsidRPr="00A970B1">
        <w:t>7000 - 13500 DZD</w:t>
      </w:r>
    </w:p>
    <w:p w14:paraId="358947A6" w14:textId="77777777" w:rsidR="00A970B1" w:rsidRPr="00A970B1" w:rsidRDefault="00A970B1" w:rsidP="00A970B1">
      <w:pPr>
        <w:rPr>
          <w:b/>
          <w:bCs/>
          <w:lang w:val="en-US"/>
        </w:rPr>
      </w:pPr>
      <w:r w:rsidRPr="00A970B1">
        <w:rPr>
          <w:b/>
          <w:bCs/>
          <w:lang w:val="en-US"/>
        </w:rPr>
        <w:t>Description:</w:t>
      </w:r>
    </w:p>
    <w:p w14:paraId="6E8E7256" w14:textId="77777777" w:rsidR="00A970B1" w:rsidRPr="00A970B1" w:rsidRDefault="00A970B1" w:rsidP="00A970B1">
      <w:pPr>
        <w:rPr>
          <w:b/>
          <w:bCs/>
          <w:lang w:val="en-US"/>
        </w:rPr>
      </w:pPr>
      <w:r w:rsidRPr="00A970B1">
        <w:rPr>
          <w:b/>
          <w:bCs/>
          <w:lang w:val="en-US"/>
        </w:rPr>
        <w:t>Service Overview</w:t>
      </w:r>
    </w:p>
    <w:p w14:paraId="69C52E92" w14:textId="77777777" w:rsidR="00A970B1" w:rsidRPr="00A970B1" w:rsidRDefault="00A970B1" w:rsidP="00A970B1">
      <w:pPr>
        <w:rPr>
          <w:lang w:val="en-US"/>
        </w:rPr>
      </w:pPr>
      <w:r w:rsidRPr="00A970B1">
        <w:rPr>
          <w:lang w:val="en-US"/>
        </w:rPr>
        <w:t>Accurate taxonomic identification is performed using </w:t>
      </w:r>
      <w:r w:rsidRPr="00A970B1">
        <w:rPr>
          <w:b/>
          <w:bCs/>
          <w:lang w:val="en-US"/>
        </w:rPr>
        <w:t>PCR amplicon Sanger sequencing</w:t>
      </w:r>
      <w:r w:rsidRPr="00A970B1">
        <w:rPr>
          <w:lang w:val="en-US"/>
        </w:rPr>
        <w:t> with universal genetic markers, including </w:t>
      </w:r>
      <w:r w:rsidRPr="00A970B1">
        <w:rPr>
          <w:b/>
          <w:bCs/>
          <w:lang w:val="en-US"/>
        </w:rPr>
        <w:t>16S rRNA</w:t>
      </w:r>
      <w:r w:rsidRPr="00A970B1">
        <w:rPr>
          <w:lang w:val="en-US"/>
        </w:rPr>
        <w:t> for bacteria, </w:t>
      </w:r>
      <w:r w:rsidRPr="00A970B1">
        <w:rPr>
          <w:b/>
          <w:bCs/>
          <w:lang w:val="en-US"/>
        </w:rPr>
        <w:t>ITS</w:t>
      </w:r>
      <w:r w:rsidRPr="00A970B1">
        <w:rPr>
          <w:lang w:val="en-US"/>
        </w:rPr>
        <w:t> for fungi, and </w:t>
      </w:r>
      <w:r w:rsidRPr="00A970B1">
        <w:rPr>
          <w:b/>
          <w:bCs/>
          <w:lang w:val="en-US"/>
        </w:rPr>
        <w:t>18S rRNA</w:t>
      </w:r>
      <w:r w:rsidRPr="00A970B1">
        <w:rPr>
          <w:lang w:val="en-US"/>
        </w:rPr>
        <w:t> for eukaryotes.</w:t>
      </w:r>
    </w:p>
    <w:p w14:paraId="4C989571" w14:textId="77777777" w:rsidR="00A970B1" w:rsidRPr="00A970B1" w:rsidRDefault="00A970B1" w:rsidP="00A970B1">
      <w:pPr>
        <w:rPr>
          <w:lang w:val="en-US"/>
        </w:rPr>
      </w:pPr>
      <w:r w:rsidRPr="00A970B1">
        <w:rPr>
          <w:lang w:val="en-US"/>
        </w:rPr>
        <w:t>The workflow comprises </w:t>
      </w:r>
      <w:r w:rsidRPr="00A970B1">
        <w:rPr>
          <w:b/>
          <w:bCs/>
          <w:lang w:val="en-US"/>
        </w:rPr>
        <w:t>PCR amplification</w:t>
      </w:r>
      <w:r w:rsidRPr="00A970B1">
        <w:rPr>
          <w:lang w:val="en-US"/>
        </w:rPr>
        <w:t>, amplicon cleanup, and </w:t>
      </w:r>
      <w:r w:rsidRPr="00A970B1">
        <w:rPr>
          <w:b/>
          <w:bCs/>
          <w:lang w:val="en-US"/>
        </w:rPr>
        <w:t>single-direction (Forward)</w:t>
      </w:r>
      <w:r w:rsidRPr="00A970B1">
        <w:rPr>
          <w:lang w:val="en-US"/>
        </w:rPr>
        <w:t> or </w:t>
      </w:r>
      <w:r w:rsidRPr="00A970B1">
        <w:rPr>
          <w:b/>
          <w:bCs/>
          <w:lang w:val="en-US"/>
        </w:rPr>
        <w:t>bi-directional (Forward + Reverse)</w:t>
      </w:r>
      <w:r w:rsidRPr="00A970B1">
        <w:rPr>
          <w:lang w:val="en-US"/>
        </w:rPr>
        <w:t> Sanger sequencing. Generated sequences are compared against curated reference databases to provide </w:t>
      </w:r>
      <w:r w:rsidRPr="00A970B1">
        <w:rPr>
          <w:b/>
          <w:bCs/>
          <w:lang w:val="en-US"/>
        </w:rPr>
        <w:t>species-level identification</w:t>
      </w:r>
      <w:r w:rsidRPr="00A970B1">
        <w:rPr>
          <w:lang w:val="en-US"/>
        </w:rPr>
        <w:t> when established quality criteria are met.</w:t>
      </w:r>
    </w:p>
    <w:p w14:paraId="14A9FA4D" w14:textId="77777777" w:rsidR="00A970B1" w:rsidRPr="00A970B1" w:rsidRDefault="00A970B1" w:rsidP="00A970B1">
      <w:pPr>
        <w:rPr>
          <w:lang w:val="en-US"/>
        </w:rPr>
      </w:pPr>
      <w:r w:rsidRPr="00A970B1">
        <w:rPr>
          <w:lang w:val="en-US"/>
        </w:rPr>
        <w:pict w14:anchorId="2F8EE033">
          <v:rect id="_x0000_i1070" style="width:0;height:0" o:hralign="center" o:hrstd="t" o:hr="t" fillcolor="#a0a0a0" stroked="f"/>
        </w:pict>
      </w:r>
    </w:p>
    <w:p w14:paraId="57F4252D" w14:textId="77777777" w:rsidR="00A970B1" w:rsidRPr="00A970B1" w:rsidRDefault="00A970B1" w:rsidP="00A970B1">
      <w:pPr>
        <w:rPr>
          <w:b/>
          <w:bCs/>
          <w:lang w:val="en-US"/>
        </w:rPr>
      </w:pPr>
      <w:r w:rsidRPr="00A970B1">
        <w:rPr>
          <w:b/>
          <w:bCs/>
          <w:lang w:val="en-US"/>
        </w:rPr>
        <w:t>Sample Requirements (Critical)</w:t>
      </w:r>
    </w:p>
    <w:p w14:paraId="4C431AF2" w14:textId="77777777" w:rsidR="00A970B1" w:rsidRPr="00A970B1" w:rsidRDefault="00A970B1" w:rsidP="00A970B1">
      <w:pPr>
        <w:rPr>
          <w:lang w:val="en-US"/>
        </w:rPr>
      </w:pPr>
      <w:r w:rsidRPr="00A970B1">
        <w:rPr>
          <w:lang w:val="en-US"/>
        </w:rPr>
        <w:t>Samples must consist of either a </w:t>
      </w:r>
      <w:r w:rsidRPr="00A970B1">
        <w:rPr>
          <w:b/>
          <w:bCs/>
          <w:lang w:val="en-US"/>
        </w:rPr>
        <w:t>pure, recent culture</w:t>
      </w:r>
      <w:r w:rsidRPr="00A970B1">
        <w:rPr>
          <w:lang w:val="en-US"/>
        </w:rPr>
        <w:t> suitable for PCR (preferred) or </w:t>
      </w:r>
      <w:r w:rsidRPr="00A970B1">
        <w:rPr>
          <w:b/>
          <w:bCs/>
          <w:lang w:val="en-US"/>
        </w:rPr>
        <w:t>extracted DNA</w:t>
      </w:r>
      <w:r w:rsidRPr="00A970B1">
        <w:rPr>
          <w:lang w:val="en-US"/>
        </w:rPr>
        <w:t> meeting the following specifications: A260/280 ratio of approximately 1.8–2.0, DNA concentration of at least 10–20 ng/µL, and a minimum volume of 20 µL.</w:t>
      </w:r>
    </w:p>
    <w:p w14:paraId="456D8976" w14:textId="77777777" w:rsidR="00A970B1" w:rsidRPr="00A970B1" w:rsidRDefault="00A970B1" w:rsidP="00A970B1">
      <w:pPr>
        <w:rPr>
          <w:lang w:val="en-US"/>
        </w:rPr>
      </w:pPr>
      <w:r w:rsidRPr="00A970B1">
        <w:rPr>
          <w:lang w:val="en-US"/>
        </w:rPr>
        <w:t>Each sample must be accompanied by complete metadata, including sample code, organism type, source, date, culture medium, incubation conditions, and any relevant remarks. Mixed cultures, contaminated samples, or degraded DNA should be avoided, as they can negatively affect amplification and sequencing quality.</w:t>
      </w:r>
    </w:p>
    <w:p w14:paraId="163F3BA7" w14:textId="77777777" w:rsidR="00A970B1" w:rsidRPr="00A970B1" w:rsidRDefault="00A970B1" w:rsidP="00A970B1">
      <w:pPr>
        <w:rPr>
          <w:lang w:val="en-US"/>
        </w:rPr>
      </w:pPr>
      <w:r w:rsidRPr="00A970B1">
        <w:rPr>
          <w:lang w:val="en-US"/>
        </w:rPr>
        <w:pict w14:anchorId="173BC63E">
          <v:rect id="_x0000_i1071" style="width:0;height:0" o:hralign="center" o:hrstd="t" o:hr="t" fillcolor="#a0a0a0" stroked="f"/>
        </w:pict>
      </w:r>
    </w:p>
    <w:p w14:paraId="12E02999" w14:textId="77777777" w:rsidR="00A970B1" w:rsidRPr="00A970B1" w:rsidRDefault="00A970B1" w:rsidP="00A970B1">
      <w:pPr>
        <w:rPr>
          <w:b/>
          <w:bCs/>
          <w:lang w:val="en-US"/>
        </w:rPr>
      </w:pPr>
      <w:r w:rsidRPr="00A970B1">
        <w:rPr>
          <w:b/>
          <w:bCs/>
          <w:lang w:val="en-US"/>
        </w:rPr>
        <w:t>Workflow and Deliverables</w:t>
      </w:r>
    </w:p>
    <w:p w14:paraId="3CA88156" w14:textId="77777777" w:rsidR="00A970B1" w:rsidRPr="00A970B1" w:rsidRDefault="00A970B1" w:rsidP="00A970B1">
      <w:pPr>
        <w:rPr>
          <w:lang w:val="en-US"/>
        </w:rPr>
      </w:pPr>
      <w:r w:rsidRPr="00A970B1">
        <w:rPr>
          <w:lang w:val="en-US"/>
        </w:rPr>
        <w:t>PCR amplification using universal primers selected according to the organism group.</w:t>
      </w:r>
      <w:r w:rsidRPr="00A970B1">
        <w:rPr>
          <w:lang w:val="en-US"/>
        </w:rPr>
        <w:br/>
        <w:t>Amplicon cleanup followed by Sanger sequencing (Forward only or Forward + Reverse).</w:t>
      </w:r>
      <w:r w:rsidRPr="00A970B1">
        <w:rPr>
          <w:lang w:val="en-US"/>
        </w:rPr>
        <w:br/>
        <w:t>Sequence quality review and database comparison.</w:t>
      </w:r>
    </w:p>
    <w:p w14:paraId="2776A745" w14:textId="77777777" w:rsidR="00A970B1" w:rsidRPr="00A970B1" w:rsidRDefault="00A970B1" w:rsidP="00A970B1">
      <w:pPr>
        <w:rPr>
          <w:lang w:val="en-US"/>
        </w:rPr>
      </w:pPr>
      <w:r w:rsidRPr="00A970B1">
        <w:rPr>
          <w:lang w:val="en-US"/>
        </w:rPr>
        <w:t>Deliverables include </w:t>
      </w:r>
      <w:r w:rsidRPr="00A970B1">
        <w:rPr>
          <w:b/>
          <w:bCs/>
          <w:lang w:val="en-US"/>
        </w:rPr>
        <w:t>ABI chromatogram file(s)</w:t>
      </w:r>
      <w:r w:rsidRPr="00A970B1">
        <w:rPr>
          <w:lang w:val="en-US"/>
        </w:rPr>
        <w:t>, </w:t>
      </w:r>
      <w:r w:rsidRPr="00A970B1">
        <w:rPr>
          <w:b/>
          <w:bCs/>
          <w:lang w:val="en-US"/>
        </w:rPr>
        <w:t>FASTA sequence file(s)</w:t>
      </w:r>
      <w:r w:rsidRPr="00A970B1">
        <w:rPr>
          <w:lang w:val="en-US"/>
        </w:rPr>
        <w:t>, and a brief </w:t>
      </w:r>
      <w:r w:rsidRPr="00A970B1">
        <w:rPr>
          <w:b/>
          <w:bCs/>
          <w:lang w:val="en-US"/>
        </w:rPr>
        <w:t>sequencing quality control summary</w:t>
      </w:r>
      <w:r w:rsidRPr="00A970B1">
        <w:rPr>
          <w:lang w:val="en-US"/>
        </w:rPr>
        <w:t> describing read quality, coverage, and confidence of identification.</w:t>
      </w:r>
    </w:p>
    <w:p w14:paraId="0DFBD28B" w14:textId="77777777" w:rsidR="00A970B1" w:rsidRPr="00A970B1" w:rsidRDefault="00A970B1" w:rsidP="00A970B1">
      <w:pPr>
        <w:rPr>
          <w:lang w:val="en-US"/>
        </w:rPr>
      </w:pPr>
      <w:r w:rsidRPr="00A970B1">
        <w:rPr>
          <w:lang w:val="en-US"/>
        </w:rPr>
        <w:pict w14:anchorId="6B30F776">
          <v:rect id="_x0000_i1072" style="width:0;height:0" o:hralign="center" o:hrstd="t" o:hr="t" fillcolor="#a0a0a0" stroked="f"/>
        </w:pict>
      </w:r>
    </w:p>
    <w:p w14:paraId="10C8D51F" w14:textId="77777777" w:rsidR="00A970B1" w:rsidRPr="00A970B1" w:rsidRDefault="00A970B1" w:rsidP="00A970B1">
      <w:pPr>
        <w:rPr>
          <w:b/>
          <w:bCs/>
          <w:lang w:val="en-US"/>
        </w:rPr>
      </w:pPr>
      <w:r w:rsidRPr="00A970B1">
        <w:rPr>
          <w:b/>
          <w:bCs/>
          <w:lang w:val="en-US"/>
        </w:rPr>
        <w:t>Pricing (Algerian Dinar – DA)</w:t>
      </w:r>
    </w:p>
    <w:p w14:paraId="03A4C9B4" w14:textId="77777777" w:rsidR="00A970B1" w:rsidRPr="00A970B1" w:rsidRDefault="00A970B1" w:rsidP="00A970B1">
      <w:pPr>
        <w:rPr>
          <w:b/>
          <w:bCs/>
          <w:lang w:val="en-US"/>
        </w:rPr>
      </w:pPr>
      <w:r w:rsidRPr="00A970B1">
        <w:rPr>
          <w:b/>
          <w:bCs/>
          <w:lang w:val="en-US"/>
        </w:rPr>
        <w:t>Sequencing Service with PCR Included (per sample)</w:t>
      </w:r>
    </w:p>
    <w:p w14:paraId="63DA9DC9" w14:textId="77777777" w:rsidR="00A970B1" w:rsidRPr="00A970B1" w:rsidRDefault="00A970B1" w:rsidP="00A970B1">
      <w:pPr>
        <w:numPr>
          <w:ilvl w:val="0"/>
          <w:numId w:val="19"/>
        </w:numPr>
        <w:rPr>
          <w:lang w:val="en-US"/>
        </w:rPr>
      </w:pPr>
      <w:r w:rsidRPr="00A970B1">
        <w:rPr>
          <w:b/>
          <w:bCs/>
          <w:lang w:val="en-US"/>
        </w:rPr>
        <w:t>Forward sequencing (F only): 7,000 DA</w:t>
      </w:r>
      <w:r w:rsidRPr="00A970B1">
        <w:rPr>
          <w:lang w:val="en-US"/>
        </w:rPr>
        <w:br/>
        <w:t>(5,500 DA sequencing + 1,500 DA PCR)</w:t>
      </w:r>
    </w:p>
    <w:p w14:paraId="54E405FB" w14:textId="77777777" w:rsidR="00A970B1" w:rsidRPr="00A970B1" w:rsidRDefault="00A970B1" w:rsidP="00A970B1">
      <w:pPr>
        <w:numPr>
          <w:ilvl w:val="0"/>
          <w:numId w:val="19"/>
        </w:numPr>
        <w:rPr>
          <w:lang w:val="en-US"/>
        </w:rPr>
      </w:pPr>
      <w:r w:rsidRPr="00A970B1">
        <w:rPr>
          <w:b/>
          <w:bCs/>
          <w:lang w:val="en-US"/>
        </w:rPr>
        <w:lastRenderedPageBreak/>
        <w:t>Forward + Reverse sequencing (F + R): 12,000 DA</w:t>
      </w:r>
      <w:r w:rsidRPr="00A970B1">
        <w:rPr>
          <w:lang w:val="en-US"/>
        </w:rPr>
        <w:br/>
        <w:t>(10,500 DA sequencing + 1,500 DA PCR)</w:t>
      </w:r>
    </w:p>
    <w:p w14:paraId="4AC63F7B" w14:textId="77777777" w:rsidR="00A970B1" w:rsidRPr="00A970B1" w:rsidRDefault="00A970B1" w:rsidP="00A970B1">
      <w:pPr>
        <w:numPr>
          <w:ilvl w:val="0"/>
          <w:numId w:val="19"/>
        </w:numPr>
        <w:rPr>
          <w:lang w:val="en-US"/>
        </w:rPr>
      </w:pPr>
      <w:r w:rsidRPr="00A970B1">
        <w:rPr>
          <w:b/>
          <w:bCs/>
          <w:lang w:val="en-US"/>
        </w:rPr>
        <w:t>Forward + Reverse sequencing for long, high-GC, or re-run amplicons: 13,500 DA</w:t>
      </w:r>
      <w:r w:rsidRPr="00A970B1">
        <w:rPr>
          <w:lang w:val="en-US"/>
        </w:rPr>
        <w:br/>
        <w:t>(12,000 DA sequencing + 1,500 DA PCR)</w:t>
      </w:r>
    </w:p>
    <w:p w14:paraId="327E2E99" w14:textId="77777777" w:rsidR="00A970B1" w:rsidRPr="00A970B1" w:rsidRDefault="00A970B1" w:rsidP="00A970B1">
      <w:pPr>
        <w:rPr>
          <w:b/>
          <w:bCs/>
          <w:lang w:val="en-US"/>
        </w:rPr>
      </w:pPr>
      <w:r w:rsidRPr="00A970B1">
        <w:rPr>
          <w:b/>
          <w:bCs/>
          <w:lang w:val="en-US"/>
        </w:rPr>
        <w:t>Additional Services (Optional)</w:t>
      </w:r>
    </w:p>
    <w:p w14:paraId="2DCE600D" w14:textId="77777777" w:rsidR="00A970B1" w:rsidRPr="00A970B1" w:rsidRDefault="00A970B1" w:rsidP="00A970B1">
      <w:pPr>
        <w:numPr>
          <w:ilvl w:val="0"/>
          <w:numId w:val="20"/>
        </w:numPr>
        <w:rPr>
          <w:lang w:val="en-US"/>
        </w:rPr>
      </w:pPr>
      <w:r w:rsidRPr="00A970B1">
        <w:rPr>
          <w:lang w:val="en-US"/>
        </w:rPr>
        <w:t xml:space="preserve">Fungal samples requiring </w:t>
      </w:r>
      <w:proofErr w:type="spellStart"/>
      <w:r w:rsidRPr="00A970B1">
        <w:rPr>
          <w:lang w:val="en-US"/>
        </w:rPr>
        <w:t>lyophilisation</w:t>
      </w:r>
      <w:proofErr w:type="spellEnd"/>
      <w:r w:rsidRPr="00A970B1">
        <w:rPr>
          <w:lang w:val="en-US"/>
        </w:rPr>
        <w:t>: </w:t>
      </w:r>
      <w:r w:rsidRPr="00A970B1">
        <w:rPr>
          <w:b/>
          <w:bCs/>
          <w:lang w:val="en-US"/>
        </w:rPr>
        <w:t>+2,000 DA per sample</w:t>
      </w:r>
    </w:p>
    <w:p w14:paraId="61479C9A" w14:textId="77777777" w:rsidR="00A970B1" w:rsidRPr="00A970B1" w:rsidRDefault="00A970B1" w:rsidP="00A970B1">
      <w:pPr>
        <w:numPr>
          <w:ilvl w:val="0"/>
          <w:numId w:val="20"/>
        </w:numPr>
        <w:rPr>
          <w:lang w:val="en-US"/>
        </w:rPr>
      </w:pPr>
      <w:r w:rsidRPr="00A970B1">
        <w:rPr>
          <w:lang w:val="en-US"/>
        </w:rPr>
        <w:t>Primer design (depending on DNA template complexity): </w:t>
      </w:r>
      <w:r w:rsidRPr="00A970B1">
        <w:rPr>
          <w:b/>
          <w:bCs/>
          <w:lang w:val="en-US"/>
        </w:rPr>
        <w:t>+2,000 to +5,000 DA</w:t>
      </w:r>
    </w:p>
    <w:p w14:paraId="134F9D89" w14:textId="77777777" w:rsidR="00A970B1" w:rsidRPr="00A970B1" w:rsidRDefault="00A970B1" w:rsidP="00A970B1">
      <w:pPr>
        <w:rPr>
          <w:lang w:val="en-US"/>
        </w:rPr>
      </w:pPr>
      <w:r w:rsidRPr="00A970B1">
        <w:rPr>
          <w:lang w:val="en-US"/>
        </w:rPr>
        <w:pict w14:anchorId="509259E2">
          <v:rect id="_x0000_i1073" style="width:0;height:0" o:hralign="center" o:hrstd="t" o:hr="t" fillcolor="#a0a0a0" stroked="f"/>
        </w:pict>
      </w:r>
    </w:p>
    <w:p w14:paraId="705B3F39" w14:textId="77777777" w:rsidR="00A970B1" w:rsidRPr="00A970B1" w:rsidRDefault="00A970B1" w:rsidP="00A970B1">
      <w:pPr>
        <w:rPr>
          <w:b/>
          <w:bCs/>
          <w:lang w:val="en-US"/>
        </w:rPr>
      </w:pPr>
      <w:r w:rsidRPr="00A970B1">
        <w:rPr>
          <w:b/>
          <w:bCs/>
          <w:lang w:val="en-US"/>
        </w:rPr>
        <w:t>Turnaround Time and Pricing Notes</w:t>
      </w:r>
    </w:p>
    <w:p w14:paraId="77955F38" w14:textId="77777777" w:rsidR="00A970B1" w:rsidRPr="00A970B1" w:rsidRDefault="00A970B1" w:rsidP="00A970B1">
      <w:pPr>
        <w:rPr>
          <w:lang w:val="en-US"/>
        </w:rPr>
      </w:pPr>
      <w:r w:rsidRPr="00A970B1">
        <w:rPr>
          <w:lang w:val="en-US"/>
        </w:rPr>
        <w:t>The standard turnaround time is </w:t>
      </w:r>
      <w:r w:rsidRPr="00A970B1">
        <w:rPr>
          <w:b/>
          <w:bCs/>
          <w:lang w:val="en-US"/>
        </w:rPr>
        <w:t>up to 15 working days</w:t>
      </w:r>
      <w:r w:rsidRPr="00A970B1">
        <w:rPr>
          <w:lang w:val="en-US"/>
        </w:rPr>
        <w:t> from sample receipt, depending on workload and sample complexity.</w:t>
      </w:r>
    </w:p>
    <w:p w14:paraId="3872EEBD" w14:textId="77777777" w:rsidR="00A970B1" w:rsidRPr="00A970B1" w:rsidRDefault="00A970B1" w:rsidP="00A970B1">
      <w:pPr>
        <w:rPr>
          <w:lang w:val="en-US"/>
        </w:rPr>
      </w:pPr>
      <w:r w:rsidRPr="00A970B1">
        <w:rPr>
          <w:b/>
          <w:bCs/>
          <w:lang w:val="en-US"/>
        </w:rPr>
        <w:t>Rates are subject to change</w:t>
      </w:r>
      <w:r w:rsidRPr="00A970B1">
        <w:rPr>
          <w:lang w:val="en-US"/>
        </w:rPr>
        <w:t> based on reagent availability and fluctuations in reagent prices. Any pricing adjustments will be communicated prior to order confirmation.</w:t>
      </w:r>
    </w:p>
    <w:p w14:paraId="2C3DAB31" w14:textId="77777777" w:rsidR="00A970B1" w:rsidRPr="00A970B1" w:rsidRDefault="00A970B1" w:rsidP="00A970B1">
      <w:pPr>
        <w:rPr>
          <w:lang w:val="en-US"/>
        </w:rPr>
      </w:pPr>
      <w:r w:rsidRPr="00A970B1">
        <w:rPr>
          <w:lang w:val="en-US"/>
        </w:rPr>
        <w:pict w14:anchorId="198F2239">
          <v:rect id="_x0000_i1074" style="width:0;height:0" o:hralign="center" o:hrstd="t" o:hr="t" fillcolor="#a0a0a0" stroked="f"/>
        </w:pict>
      </w:r>
    </w:p>
    <w:p w14:paraId="54DD4B2B" w14:textId="77777777" w:rsidR="00A970B1" w:rsidRPr="00A970B1" w:rsidRDefault="00A970B1" w:rsidP="00A970B1">
      <w:pPr>
        <w:rPr>
          <w:b/>
          <w:bCs/>
          <w:lang w:val="en-US"/>
        </w:rPr>
      </w:pPr>
      <w:r w:rsidRPr="00A970B1">
        <w:rPr>
          <w:b/>
          <w:bCs/>
          <w:lang w:val="en-US"/>
        </w:rPr>
        <w:t>Limitations</w:t>
      </w:r>
    </w:p>
    <w:p w14:paraId="48999EB1" w14:textId="77777777" w:rsidR="00A970B1" w:rsidRPr="00A970B1" w:rsidRDefault="00A970B1" w:rsidP="00A970B1">
      <w:pPr>
        <w:rPr>
          <w:lang w:val="en-US"/>
        </w:rPr>
      </w:pPr>
      <w:r w:rsidRPr="00A970B1">
        <w:rPr>
          <w:lang w:val="en-US"/>
        </w:rPr>
        <w:t>Mixed or contaminated samples, degraded DNA, or challenging genomic regions may result in ambiguous sequencing reads or failed amplification. In some cases, certain taxa may not resolve to species level.</w:t>
      </w:r>
    </w:p>
    <w:p w14:paraId="4869BF9F" w14:textId="77777777" w:rsidR="00A970B1" w:rsidRPr="00A970B1" w:rsidRDefault="00A970B1" w:rsidP="00A970B1">
      <w:pPr>
        <w:rPr>
          <w:lang w:val="en-US"/>
        </w:rPr>
      </w:pPr>
      <w:r w:rsidRPr="00A970B1">
        <w:rPr>
          <w:lang w:val="en-US"/>
        </w:rPr>
        <w:pict w14:anchorId="2320A67F">
          <v:rect id="_x0000_i1075" style="width:0;height:0" o:hralign="center" o:hrstd="t" o:hr="t" fillcolor="#a0a0a0" stroked="f"/>
        </w:pict>
      </w:r>
    </w:p>
    <w:p w14:paraId="1BE91001" w14:textId="77777777" w:rsidR="00A970B1" w:rsidRPr="00A970B1" w:rsidRDefault="00A970B1" w:rsidP="00A970B1">
      <w:pPr>
        <w:rPr>
          <w:b/>
          <w:bCs/>
          <w:lang w:val="en-US"/>
        </w:rPr>
      </w:pPr>
      <w:r w:rsidRPr="00A970B1">
        <w:rPr>
          <w:b/>
          <w:bCs/>
          <w:lang w:val="en-US"/>
        </w:rPr>
        <w:t>How to Order</w:t>
      </w:r>
    </w:p>
    <w:p w14:paraId="5717B6A7" w14:textId="77777777" w:rsidR="00A970B1" w:rsidRPr="00A970B1" w:rsidRDefault="00A970B1" w:rsidP="00A970B1">
      <w:pPr>
        <w:rPr>
          <w:lang w:val="en-US"/>
        </w:rPr>
      </w:pPr>
      <w:r w:rsidRPr="00A970B1">
        <w:rPr>
          <w:lang w:val="en-US"/>
        </w:rPr>
        <w:t>Submit the </w:t>
      </w:r>
      <w:r w:rsidRPr="00A970B1">
        <w:rPr>
          <w:b/>
          <w:bCs/>
          <w:lang w:val="en-US"/>
        </w:rPr>
        <w:t>EGTP-Seq01 request form</w:t>
      </w:r>
      <w:r w:rsidRPr="00A970B1">
        <w:rPr>
          <w:lang w:val="en-US"/>
        </w:rPr>
        <w:t> with complete sample metadata and the preferred target region (if known). Please indicate whether </w:t>
      </w:r>
      <w:r w:rsidRPr="00A970B1">
        <w:rPr>
          <w:b/>
          <w:bCs/>
          <w:lang w:val="en-US"/>
        </w:rPr>
        <w:t>Forward-only</w:t>
      </w:r>
      <w:r w:rsidRPr="00A970B1">
        <w:rPr>
          <w:lang w:val="en-US"/>
        </w:rPr>
        <w:t> or </w:t>
      </w:r>
      <w:r w:rsidRPr="00A970B1">
        <w:rPr>
          <w:b/>
          <w:bCs/>
          <w:lang w:val="en-US"/>
        </w:rPr>
        <w:t>Forward + Reverse</w:t>
      </w:r>
      <w:r w:rsidRPr="00A970B1">
        <w:rPr>
          <w:lang w:val="en-US"/>
        </w:rPr>
        <w:t> sequencing is required, along with any optional add-on services.</w:t>
      </w:r>
    </w:p>
    <w:p w14:paraId="45669E06" w14:textId="77777777" w:rsidR="004038B8" w:rsidRPr="00A970B1" w:rsidRDefault="004038B8">
      <w:pPr>
        <w:rPr>
          <w:lang w:val="en-US"/>
        </w:rPr>
      </w:pPr>
    </w:p>
    <w:sectPr w:rsidR="004038B8" w:rsidRPr="00A97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D46"/>
    <w:multiLevelType w:val="multilevel"/>
    <w:tmpl w:val="7E6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5B27"/>
    <w:multiLevelType w:val="multilevel"/>
    <w:tmpl w:val="685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50505"/>
    <w:multiLevelType w:val="multilevel"/>
    <w:tmpl w:val="681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63D4D"/>
    <w:multiLevelType w:val="multilevel"/>
    <w:tmpl w:val="D3E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F22DF"/>
    <w:multiLevelType w:val="multilevel"/>
    <w:tmpl w:val="E10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727"/>
    <w:multiLevelType w:val="multilevel"/>
    <w:tmpl w:val="CF3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C3811"/>
    <w:multiLevelType w:val="multilevel"/>
    <w:tmpl w:val="517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115A3"/>
    <w:multiLevelType w:val="multilevel"/>
    <w:tmpl w:val="6E8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563D"/>
    <w:multiLevelType w:val="multilevel"/>
    <w:tmpl w:val="777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73C12"/>
    <w:multiLevelType w:val="multilevel"/>
    <w:tmpl w:val="703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11396"/>
    <w:multiLevelType w:val="multilevel"/>
    <w:tmpl w:val="4E06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7427F"/>
    <w:multiLevelType w:val="multilevel"/>
    <w:tmpl w:val="67F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C1375"/>
    <w:multiLevelType w:val="multilevel"/>
    <w:tmpl w:val="65A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406C0"/>
    <w:multiLevelType w:val="multilevel"/>
    <w:tmpl w:val="6A8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F490D"/>
    <w:multiLevelType w:val="multilevel"/>
    <w:tmpl w:val="6DE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2705E"/>
    <w:multiLevelType w:val="multilevel"/>
    <w:tmpl w:val="060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A571C"/>
    <w:multiLevelType w:val="multilevel"/>
    <w:tmpl w:val="0C2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46F67"/>
    <w:multiLevelType w:val="multilevel"/>
    <w:tmpl w:val="3FA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A4992"/>
    <w:multiLevelType w:val="multilevel"/>
    <w:tmpl w:val="425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25163"/>
    <w:multiLevelType w:val="multilevel"/>
    <w:tmpl w:val="057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366724">
    <w:abstractNumId w:val="6"/>
  </w:num>
  <w:num w:numId="2" w16cid:durableId="1408384562">
    <w:abstractNumId w:val="17"/>
  </w:num>
  <w:num w:numId="3" w16cid:durableId="46489451">
    <w:abstractNumId w:val="11"/>
  </w:num>
  <w:num w:numId="4" w16cid:durableId="1591813456">
    <w:abstractNumId w:val="14"/>
  </w:num>
  <w:num w:numId="5" w16cid:durableId="73941476">
    <w:abstractNumId w:val="10"/>
  </w:num>
  <w:num w:numId="6" w16cid:durableId="983968700">
    <w:abstractNumId w:val="3"/>
  </w:num>
  <w:num w:numId="7" w16cid:durableId="578054041">
    <w:abstractNumId w:val="1"/>
  </w:num>
  <w:num w:numId="8" w16cid:durableId="394088016">
    <w:abstractNumId w:val="12"/>
  </w:num>
  <w:num w:numId="9" w16cid:durableId="979379454">
    <w:abstractNumId w:val="7"/>
  </w:num>
  <w:num w:numId="10" w16cid:durableId="190270199">
    <w:abstractNumId w:val="2"/>
  </w:num>
  <w:num w:numId="11" w16cid:durableId="443423858">
    <w:abstractNumId w:val="8"/>
  </w:num>
  <w:num w:numId="12" w16cid:durableId="1764449325">
    <w:abstractNumId w:val="16"/>
  </w:num>
  <w:num w:numId="13" w16cid:durableId="730464534">
    <w:abstractNumId w:val="19"/>
  </w:num>
  <w:num w:numId="14" w16cid:durableId="1423645099">
    <w:abstractNumId w:val="15"/>
  </w:num>
  <w:num w:numId="15" w16cid:durableId="2062752953">
    <w:abstractNumId w:val="18"/>
  </w:num>
  <w:num w:numId="16" w16cid:durableId="1171290722">
    <w:abstractNumId w:val="9"/>
  </w:num>
  <w:num w:numId="17" w16cid:durableId="1452628094">
    <w:abstractNumId w:val="13"/>
  </w:num>
  <w:num w:numId="18" w16cid:durableId="425343942">
    <w:abstractNumId w:val="4"/>
  </w:num>
  <w:num w:numId="19" w16cid:durableId="816074867">
    <w:abstractNumId w:val="5"/>
  </w:num>
  <w:num w:numId="20" w16cid:durableId="23639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AD"/>
    <w:rsid w:val="003726AD"/>
    <w:rsid w:val="004038B8"/>
    <w:rsid w:val="00A57A83"/>
    <w:rsid w:val="00A970B1"/>
    <w:rsid w:val="00CA6AA9"/>
    <w:rsid w:val="00F8050E"/>
    <w:rsid w:val="00FE5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2D24E"/>
  <w15:chartTrackingRefBased/>
  <w15:docId w15:val="{7747FA8E-256E-4F4D-A723-E5578077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72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8050E"/>
    <w:pPr>
      <w:spacing w:after="0" w:line="240" w:lineRule="auto"/>
    </w:pPr>
    <w:rPr>
      <w:lang w:val="fr-FR"/>
    </w:rPr>
    <w:tblPr/>
  </w:style>
  <w:style w:type="character" w:customStyle="1" w:styleId="Heading1Char">
    <w:name w:val="Heading 1 Char"/>
    <w:basedOn w:val="DefaultParagraphFont"/>
    <w:link w:val="Heading1"/>
    <w:uiPriority w:val="9"/>
    <w:rsid w:val="003726AD"/>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3726AD"/>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3726AD"/>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3726AD"/>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3726AD"/>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3726AD"/>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3726AD"/>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3726AD"/>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3726AD"/>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372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6AD"/>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372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6AD"/>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3726AD"/>
    <w:pPr>
      <w:spacing w:before="160"/>
      <w:jc w:val="center"/>
    </w:pPr>
    <w:rPr>
      <w:i/>
      <w:iCs/>
      <w:color w:val="404040" w:themeColor="text1" w:themeTint="BF"/>
    </w:rPr>
  </w:style>
  <w:style w:type="character" w:customStyle="1" w:styleId="QuoteChar">
    <w:name w:val="Quote Char"/>
    <w:basedOn w:val="DefaultParagraphFont"/>
    <w:link w:val="Quote"/>
    <w:uiPriority w:val="29"/>
    <w:rsid w:val="003726AD"/>
    <w:rPr>
      <w:i/>
      <w:iCs/>
      <w:color w:val="404040" w:themeColor="text1" w:themeTint="BF"/>
      <w:lang w:val="fr-FR"/>
    </w:rPr>
  </w:style>
  <w:style w:type="paragraph" w:styleId="ListParagraph">
    <w:name w:val="List Paragraph"/>
    <w:basedOn w:val="Normal"/>
    <w:uiPriority w:val="34"/>
    <w:qFormat/>
    <w:rsid w:val="003726AD"/>
    <w:pPr>
      <w:ind w:left="720"/>
      <w:contextualSpacing/>
    </w:pPr>
  </w:style>
  <w:style w:type="character" w:styleId="IntenseEmphasis">
    <w:name w:val="Intense Emphasis"/>
    <w:basedOn w:val="DefaultParagraphFont"/>
    <w:uiPriority w:val="21"/>
    <w:qFormat/>
    <w:rsid w:val="003726AD"/>
    <w:rPr>
      <w:i/>
      <w:iCs/>
      <w:color w:val="2F5496" w:themeColor="accent1" w:themeShade="BF"/>
    </w:rPr>
  </w:style>
  <w:style w:type="paragraph" w:styleId="IntenseQuote">
    <w:name w:val="Intense Quote"/>
    <w:basedOn w:val="Normal"/>
    <w:next w:val="Normal"/>
    <w:link w:val="IntenseQuoteChar"/>
    <w:uiPriority w:val="30"/>
    <w:qFormat/>
    <w:rsid w:val="00372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6AD"/>
    <w:rPr>
      <w:i/>
      <w:iCs/>
      <w:color w:val="2F5496" w:themeColor="accent1" w:themeShade="BF"/>
      <w:lang w:val="fr-FR"/>
    </w:rPr>
  </w:style>
  <w:style w:type="character" w:styleId="IntenseReference">
    <w:name w:val="Intense Reference"/>
    <w:basedOn w:val="DefaultParagraphFont"/>
    <w:uiPriority w:val="32"/>
    <w:qFormat/>
    <w:rsid w:val="003726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MIDOU</dc:creator>
  <cp:keywords/>
  <dc:description/>
  <cp:lastModifiedBy>MED MIDOU</cp:lastModifiedBy>
  <cp:revision>2</cp:revision>
  <dcterms:created xsi:type="dcterms:W3CDTF">2026-01-12T18:32:00Z</dcterms:created>
  <dcterms:modified xsi:type="dcterms:W3CDTF">2026-01-12T18:32:00Z</dcterms:modified>
</cp:coreProperties>
</file>