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00"/>
        <w:jc w:val="left"/>
      </w:pPr>
      <w:r>
        <w:rPr>
          <w:rFonts w:ascii="Calibri" w:hAnsi="Calibri"/>
          <w:b/>
          <w:color w:val="12233F"/>
          <w:sz w:val="40"/>
        </w:rPr>
        <w:t>Supporting Information</w:t>
      </w:r>
    </w:p>
    <w:p>
      <w:pPr>
        <w:spacing w:after="240"/>
      </w:pPr>
      <w:r>
        <w:rPr>
          <w:rFonts w:ascii="Calibri" w:hAnsi="Calibri"/>
          <w:i/>
          <w:color w:val="39757D"/>
          <w:sz w:val="24"/>
        </w:rPr>
        <w:t>G-Synth: Small Sequence Design and Extended Sequence Design for auditable synthesis-ready DNA and post-sequencing validation</w:t>
      </w:r>
    </w:p>
    <w:p>
      <w:pPr>
        <w:spacing w:after="100"/>
      </w:pPr>
      <w:r>
        <w:rPr>
          <w:b/>
          <w:sz w:val="21"/>
        </w:rPr>
        <w:t>Mohamed Merzougᵃ,* · Zohra Yasmine Zaterᵃ,ᵇ · Yasmine Saidiᵃ · Amaria Ilhem Hammadiᵃ · Marwa Airecheᵃ · Keltoum Bendidaᵃ · Hadjer Soumia Bouderbalaᵃ · Soheir Bouzidiᵃ · Djamal Saidiᵃ</w:t>
      </w:r>
    </w:p>
    <w:p>
      <w:pPr>
        <w:spacing w:after="40"/>
      </w:pPr>
      <w:r>
        <w:rPr>
          <w:sz w:val="19"/>
        </w:rPr>
        <w:t>ᵃ Higher School of Biological Sciences of Oran, BP 1042 Saim Mohamed, Cité Emir Abdelkader, 31000 Oran, Algeria</w:t>
      </w:r>
    </w:p>
    <w:p>
      <w:pPr>
        <w:spacing w:after="40"/>
      </w:pPr>
      <w:r>
        <w:rPr>
          <w:sz w:val="19"/>
        </w:rPr>
        <w:t>ᵇ Oran 1 University Ahmed Ben Bella, BP 1524 El M'Naouer, 31000 Oran, Algeria</w:t>
      </w:r>
    </w:p>
    <w:p>
      <w:pPr>
        <w:spacing w:after="240"/>
      </w:pPr>
      <w:r>
        <w:rPr>
          <w:i/>
          <w:sz w:val="19"/>
        </w:rPr>
        <w:t>* Corresponding author: Mohamed Merzoug; merzoug.mohamed@essb-oran.edu.dz</w:t>
      </w:r>
    </w:p>
    <w:p>
      <w:r>
        <w:t>Contents: complete glargine sequences; SSD/ESD algorithmic invariants; reproducibility commands; unabridged experimental methods, synthesis script and QC record; trace-file manifest; G-Synth evidence; and secondary Geneious comparisons.</w:t>
      </w:r>
    </w:p>
    <w:p>
      <w:pPr>
        <w:pStyle w:val="Heading1"/>
      </w:pPr>
      <w:r>
        <w:t>S1. Exact glargine design inputs and outputs</w:t>
      </w:r>
    </w:p>
    <w:p>
      <w:pPr>
        <w:pStyle w:val="Heading2"/>
      </w:pPr>
      <w:r>
        <w:t>S1.1 Current G-Synth workflow from protein input</w:t>
      </w:r>
    </w:p>
    <w:p>
      <w:r>
        <w:t>The following outputs were generated directly from the mature glargine-chain amino-acid sequences with the E. coli profile and the documented synthesis constraints. They are current computational designs. Because they differ synonymously from the physically tested constructs, they were not assigned retrospective experimental validation.</w:t>
      </w:r>
    </w:p>
    <w:p>
      <w:r>
        <w:t>Glargine A-chain protein input: GIVEQCCTSICSLYQLENYCG</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2F4F7"/>
          </w:tcPr>
          <w:p>
            <w:pPr>
              <w:spacing w:after="60"/>
            </w:pPr>
            <w:r>
              <w:rPr>
                <w:b/>
                <w:color w:val="12233F"/>
              </w:rPr>
              <w:t>A-chain G-Synth coding DNA (5′→3′)</w:t>
            </w:r>
          </w:p>
          <w:p>
            <w:pPr>
              <w:spacing w:after="0"/>
            </w:pPr>
            <w:r>
              <w:t>GGCATTGTGGAACAGTGCTGCACCAGCATTTGCAGCCTGTATCAGCTGGAAAACTATTGCGGCTAA</w:t>
            </w:r>
          </w:p>
        </w:tc>
      </w:tr>
    </w:tbl>
    <w:p>
      <w:pPr>
        <w:spacing w:after="20"/>
      </w:pPr>
    </w:p>
    <w:p>
      <w:r>
        <w:t>Resolved role: mature_peptide; initiator methionine added: no; profile-relative CAI: 1.000; GC: 50.0%; low-frequency codons: 0; recombinant model: 5,490 bp.</w:t>
      </w:r>
    </w:p>
    <w:p>
      <w:r>
        <w:t>Forward order molecule (125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8F1F3"/>
          </w:tcPr>
          <w:p>
            <w:pPr>
              <w:spacing w:after="60"/>
            </w:pPr>
            <w:r>
              <w:rPr>
                <w:b/>
                <w:color w:val="12233F"/>
              </w:rPr>
              <w:t>5′→3′ forward</w:t>
            </w:r>
          </w:p>
          <w:p>
            <w:pPr>
              <w:spacing w:after="0"/>
            </w:pPr>
            <w:r>
              <w:t>TATGGGTTCTTCTCACCACCACCACCACCACTCTTCTGGTCTGGTGCCGCGTGGTTCTGGCATTGTGGAACAGTGCTGCACCAGCATTTGCAGCCTGTATCAGCTGGAAAACTATTGCGGCTAAC</w:t>
            </w:r>
          </w:p>
        </w:tc>
      </w:tr>
    </w:tbl>
    <w:p>
      <w:pPr>
        <w:spacing w:after="20"/>
      </w:pPr>
    </w:p>
    <w:p>
      <w:r>
        <w:t>Reverse order molecule (127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AF3EC"/>
          </w:tcPr>
          <w:p>
            <w:pPr>
              <w:spacing w:after="60"/>
            </w:pPr>
            <w:r>
              <w:rPr>
                <w:b/>
                <w:color w:val="12233F"/>
              </w:rPr>
              <w:t>5′→3′ reverse</w:t>
            </w:r>
          </w:p>
          <w:p>
            <w:pPr>
              <w:spacing w:after="0"/>
            </w:pPr>
            <w:r>
              <w:t>TCGAGTTAGCCGCAATAGTTTTCCAGCTGATACAGGCTGCAAATGCTGGTGCAGCACTGTTCCACAATGCCAGAACCACGCGGCACCAGACCAGAAGAGTGGTGGTGGTGGTGGTGAGAAGAACCCA</w:t>
            </w:r>
          </w:p>
        </w:tc>
      </w:tr>
    </w:tbl>
    <w:p>
      <w:pPr>
        <w:spacing w:after="20"/>
      </w:pPr>
    </w:p>
    <w:p>
      <w:r>
        <w:t>Validation flags: peptide translation preserved; internal NdeI/XhoI absent; exact duplex core; 5′-TA/5′-TCGA terminal products; expected cassette translation; restriction-clonable pET-21a(+) model.</w:t>
      </w:r>
    </w:p>
    <w:p>
      <w:r>
        <w:t>Glargine B-chain protein input: FVNQHLCGSHLVEALYLVCGERGFFYTPKTRR</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2F4F7"/>
          </w:tcPr>
          <w:p>
            <w:pPr>
              <w:spacing w:after="60"/>
            </w:pPr>
            <w:r>
              <w:rPr>
                <w:b/>
                <w:color w:val="12233F"/>
              </w:rPr>
              <w:t>B-chain G-Synth coding DNA (5′→3′)</w:t>
            </w:r>
          </w:p>
          <w:p>
            <w:pPr>
              <w:spacing w:after="0"/>
            </w:pPr>
            <w:r>
              <w:t>TTTGTGAACCAGCATCTGTGTGGCAGCCATTTAGTGGAAGCGCTGTATCTGGTGTGCGGCGAACGCGGCTTCTTTTATACCCCGAAAACCCGCCGCTAA</w:t>
            </w:r>
          </w:p>
        </w:tc>
      </w:tr>
    </w:tbl>
    <w:p>
      <w:pPr>
        <w:spacing w:after="20"/>
      </w:pPr>
    </w:p>
    <w:p>
      <w:r>
        <w:t>Resolved role: mature_peptide; initiator methionine added: no; profile-relative CAI: 0.944; GC: 53.5%; low-frequency codons: 0; recombinant model: 5,523 bp.</w:t>
      </w:r>
    </w:p>
    <w:p>
      <w:r>
        <w:t>Forward order molecule (158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8F1F3"/>
          </w:tcPr>
          <w:p>
            <w:pPr>
              <w:spacing w:after="60"/>
            </w:pPr>
            <w:r>
              <w:rPr>
                <w:b/>
                <w:color w:val="12233F"/>
              </w:rPr>
              <w:t>5′→3′ forward</w:t>
            </w:r>
          </w:p>
          <w:p>
            <w:pPr>
              <w:spacing w:after="0"/>
            </w:pPr>
            <w:r>
              <w:t>TATGGGTTCTTCTCACCACCACCACCACCACTCTTCTGGTCTGGTGCCGCGTGGTTCTTTTGTGAACCAGCATCTGTGTGGCAGCCATTTAGTGGAAGCGCTGTATCTGGTGTGCGGCGAACGCGGCTTCTTTTATACCCCGAAAACCCGCCGCTAAC</w:t>
            </w:r>
          </w:p>
        </w:tc>
      </w:tr>
    </w:tbl>
    <w:p>
      <w:pPr>
        <w:spacing w:after="20"/>
      </w:pPr>
    </w:p>
    <w:p>
      <w:r>
        <w:t>Reverse order molecule (160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AF3EC"/>
          </w:tcPr>
          <w:p>
            <w:pPr>
              <w:spacing w:after="60"/>
            </w:pPr>
            <w:r>
              <w:rPr>
                <w:b/>
                <w:color w:val="12233F"/>
              </w:rPr>
              <w:t>5′→3′ reverse</w:t>
            </w:r>
          </w:p>
          <w:p>
            <w:pPr>
              <w:spacing w:after="0"/>
            </w:pPr>
            <w:r>
              <w:t>TCGAGTTAGCGGCGGGTTTTCGGGGTATAAAAGAAGCCGCGTTCGCCGCACACCAGATACAGCGCTTCCACTAAATGGCTGCCACACAGATGCTGGTTCACAAAAGAACCACGCGGCACCAGACCAGAAGAGTGGTGGTGGTGGTGGTGAGAAGAACCCA</w:t>
            </w:r>
          </w:p>
        </w:tc>
      </w:tr>
    </w:tbl>
    <w:p>
      <w:pPr>
        <w:spacing w:after="20"/>
      </w:pPr>
    </w:p>
    <w:p>
      <w:r>
        <w:t>Validation flags: peptide translation preserved; internal NdeI/XhoI absent; exact duplex core; 5′-TA/5′-TCGA terminal products; expected cassette translation; restriction-clonable pET-21a(+) model.</w:t>
      </w:r>
    </w:p>
    <w:p>
      <w:pPr>
        <w:pStyle w:val="Heading2"/>
      </w:pPr>
      <w:r>
        <w:t>S1.2 Retrospective experimental inputs and outputs</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1656"/>
            <w:tcMar>
              <w:top w:w="80" w:type="dxa"/>
              <w:start w:w="120" w:type="dxa"/>
              <w:bottom w:w="80" w:type="dxa"/>
              <w:end w:w="120" w:type="dxa"/>
            </w:tcMar>
            <w:shd w:fill="12233F"/>
            <w:vAlign w:val="center"/>
          </w:tcPr>
          <w:p>
            <w:pPr>
              <w:spacing w:after="0"/>
            </w:pPr>
            <w:r>
              <w:rPr>
                <w:b/>
                <w:color w:val="FFFFFF"/>
                <w:sz w:val="15"/>
              </w:rPr>
              <w:t>Sequence type</w:t>
            </w:r>
          </w:p>
        </w:tc>
        <w:tc>
          <w:tcPr>
            <w:tcW w:type="dxa" w:w="2232"/>
            <w:tcMar>
              <w:top w:w="80" w:type="dxa"/>
              <w:start w:w="120" w:type="dxa"/>
              <w:bottom w:w="80" w:type="dxa"/>
              <w:end w:w="120" w:type="dxa"/>
            </w:tcMar>
            <w:shd w:fill="12233F"/>
            <w:vAlign w:val="center"/>
          </w:tcPr>
          <w:p>
            <w:pPr>
              <w:spacing w:after="0"/>
            </w:pPr>
            <w:r>
              <w:rPr>
                <w:b/>
                <w:color w:val="FFFFFF"/>
                <w:sz w:val="15"/>
              </w:rPr>
              <w:t>Description</w:t>
            </w:r>
          </w:p>
        </w:tc>
        <w:tc>
          <w:tcPr>
            <w:tcW w:type="dxa" w:w="5616"/>
            <w:tcMar>
              <w:top w:w="80" w:type="dxa"/>
              <w:start w:w="120" w:type="dxa"/>
              <w:bottom w:w="80" w:type="dxa"/>
              <w:end w:w="120" w:type="dxa"/>
            </w:tcMar>
            <w:shd w:fill="12233F"/>
            <w:vAlign w:val="center"/>
          </w:tcPr>
          <w:p>
            <w:pPr>
              <w:spacing w:after="0"/>
            </w:pPr>
            <w:r>
              <w:rPr>
                <w:b/>
                <w:color w:val="FFFFFF"/>
                <w:sz w:val="15"/>
              </w:rPr>
              <w:t>Sequence recorded in the experimental study</w:t>
            </w:r>
          </w:p>
        </w:tc>
      </w:tr>
      <w:tr>
        <w:trPr>
          <w:cantSplit/>
        </w:trPr>
        <w:tc>
          <w:tcPr>
            <w:tcW w:type="dxa" w:w="1656"/>
            <w:tcMar>
              <w:top w:w="80" w:type="dxa"/>
              <w:start w:w="120" w:type="dxa"/>
              <w:bottom w:w="80" w:type="dxa"/>
              <w:end w:w="120" w:type="dxa"/>
            </w:tcMar>
          </w:tcPr>
          <w:p>
            <w:pPr>
              <w:spacing w:after="0" w:line="240" w:lineRule="auto"/>
            </w:pPr>
            <w:r>
              <w:rPr>
                <w:sz w:val="15"/>
              </w:rPr>
              <w:t>Peptide Sequences</w:t>
            </w:r>
          </w:p>
        </w:tc>
        <w:tc>
          <w:tcPr>
            <w:tcW w:type="dxa" w:w="2232"/>
            <w:tcMar>
              <w:top w:w="80" w:type="dxa"/>
              <w:start w:w="120" w:type="dxa"/>
              <w:bottom w:w="80" w:type="dxa"/>
              <w:end w:w="120" w:type="dxa"/>
            </w:tcMar>
          </w:tcPr>
          <w:p>
            <w:pPr>
              <w:spacing w:after="0" w:line="240" w:lineRule="auto"/>
            </w:pPr>
            <w:r>
              <w:rPr>
                <w:sz w:val="15"/>
              </w:rPr>
              <w:t>Insulin Glargine A-Chain</w:t>
            </w:r>
          </w:p>
        </w:tc>
        <w:tc>
          <w:tcPr>
            <w:tcW w:type="dxa" w:w="5616"/>
            <w:tcMar>
              <w:top w:w="80" w:type="dxa"/>
              <w:start w:w="120" w:type="dxa"/>
              <w:bottom w:w="80" w:type="dxa"/>
              <w:end w:w="120" w:type="dxa"/>
            </w:tcMar>
          </w:tcPr>
          <w:p>
            <w:pPr>
              <w:spacing w:after="0" w:line="240" w:lineRule="auto"/>
            </w:pPr>
            <w:r>
              <w:rPr>
                <w:sz w:val="15"/>
              </w:rPr>
              <w:t>GIVEQCCTSICSLYQLENYCG</w:t>
            </w:r>
          </w:p>
        </w:tc>
      </w:tr>
      <w:tr>
        <w:trPr>
          <w:cantSplit/>
        </w:trPr>
        <w:tc>
          <w:tcPr>
            <w:tcW w:type="dxa" w:w="1656"/>
            <w:tcMar>
              <w:top w:w="80" w:type="dxa"/>
              <w:start w:w="120" w:type="dxa"/>
              <w:bottom w:w="80" w:type="dxa"/>
              <w:end w:w="120" w:type="dxa"/>
            </w:tcMar>
            <w:shd w:fill="F2F4F7"/>
          </w:tcPr>
          <w:p>
            <w:pPr>
              <w:spacing w:after="0" w:line="240" w:lineRule="auto"/>
            </w:pPr>
            <w:r>
              <w:rPr>
                <w:sz w:val="15"/>
              </w:rPr>
              <w:t>Peptide Sequences</w:t>
            </w:r>
          </w:p>
        </w:tc>
        <w:tc>
          <w:tcPr>
            <w:tcW w:type="dxa" w:w="2232"/>
            <w:tcMar>
              <w:top w:w="80" w:type="dxa"/>
              <w:start w:w="120" w:type="dxa"/>
              <w:bottom w:w="80" w:type="dxa"/>
              <w:end w:w="120" w:type="dxa"/>
            </w:tcMar>
            <w:shd w:fill="F2F4F7"/>
          </w:tcPr>
          <w:p>
            <w:pPr>
              <w:spacing w:after="0" w:line="240" w:lineRule="auto"/>
            </w:pPr>
            <w:r>
              <w:rPr>
                <w:sz w:val="15"/>
              </w:rPr>
              <w:t>Insulin Glargine B-Chain</w:t>
            </w:r>
          </w:p>
        </w:tc>
        <w:tc>
          <w:tcPr>
            <w:tcW w:type="dxa" w:w="5616"/>
            <w:tcMar>
              <w:top w:w="80" w:type="dxa"/>
              <w:start w:w="120" w:type="dxa"/>
              <w:bottom w:w="80" w:type="dxa"/>
              <w:end w:w="120" w:type="dxa"/>
            </w:tcMar>
            <w:shd w:fill="F2F4F7"/>
          </w:tcPr>
          <w:p>
            <w:pPr>
              <w:spacing w:after="0" w:line="240" w:lineRule="auto"/>
            </w:pPr>
            <w:r>
              <w:rPr>
                <w:sz w:val="15"/>
              </w:rPr>
              <w:t>FVNQHLCGSHLVEALYLVCGERGFFYTPKTRR</w:t>
            </w:r>
          </w:p>
        </w:tc>
      </w:tr>
      <w:tr>
        <w:trPr>
          <w:cantSplit/>
        </w:trPr>
        <w:tc>
          <w:tcPr>
            <w:tcW w:type="dxa" w:w="1656"/>
            <w:tcMar>
              <w:top w:w="80" w:type="dxa"/>
              <w:start w:w="120" w:type="dxa"/>
              <w:bottom w:w="80" w:type="dxa"/>
              <w:end w:w="120" w:type="dxa"/>
            </w:tcMar>
          </w:tcPr>
          <w:p>
            <w:pPr>
              <w:spacing w:after="0" w:line="240" w:lineRule="auto"/>
            </w:pPr>
            <w:r>
              <w:rPr>
                <w:sz w:val="15"/>
              </w:rPr>
              <w:t>Optimized Nucleotide Sequences</w:t>
            </w:r>
          </w:p>
        </w:tc>
        <w:tc>
          <w:tcPr>
            <w:tcW w:type="dxa" w:w="2232"/>
            <w:tcMar>
              <w:top w:w="80" w:type="dxa"/>
              <w:start w:w="120" w:type="dxa"/>
              <w:bottom w:w="80" w:type="dxa"/>
              <w:end w:w="120" w:type="dxa"/>
            </w:tcMar>
          </w:tcPr>
          <w:p>
            <w:pPr>
              <w:spacing w:after="0" w:line="240" w:lineRule="auto"/>
            </w:pPr>
            <w:r>
              <w:rPr>
                <w:sz w:val="15"/>
              </w:rPr>
              <w:t>Insulin Glargine A-Chain</w:t>
            </w:r>
          </w:p>
        </w:tc>
        <w:tc>
          <w:tcPr>
            <w:tcW w:type="dxa" w:w="5616"/>
            <w:tcMar>
              <w:top w:w="80" w:type="dxa"/>
              <w:start w:w="120" w:type="dxa"/>
              <w:bottom w:w="80" w:type="dxa"/>
              <w:end w:w="120" w:type="dxa"/>
            </w:tcMar>
          </w:tcPr>
          <w:p>
            <w:pPr>
              <w:spacing w:after="0" w:line="240" w:lineRule="auto"/>
            </w:pPr>
            <w:r>
              <w:rPr>
                <w:sz w:val="15"/>
              </w:rPr>
              <w:t>GGCATCGTGGAACAGTGCTGCACCAGCATCTGCAGCCTGTACCAGCTGGAAAACTACTGCGGCTAA</w:t>
            </w:r>
          </w:p>
        </w:tc>
      </w:tr>
      <w:tr>
        <w:trPr>
          <w:cantSplit/>
        </w:trPr>
        <w:tc>
          <w:tcPr>
            <w:tcW w:type="dxa" w:w="1656"/>
            <w:tcMar>
              <w:top w:w="80" w:type="dxa"/>
              <w:start w:w="120" w:type="dxa"/>
              <w:bottom w:w="80" w:type="dxa"/>
              <w:end w:w="120" w:type="dxa"/>
            </w:tcMar>
            <w:shd w:fill="F2F4F7"/>
          </w:tcPr>
          <w:p>
            <w:pPr>
              <w:spacing w:after="0" w:line="240" w:lineRule="auto"/>
            </w:pPr>
            <w:r>
              <w:rPr>
                <w:sz w:val="15"/>
              </w:rPr>
              <w:t>Optimized Nucleotide Sequences</w:t>
            </w:r>
          </w:p>
        </w:tc>
        <w:tc>
          <w:tcPr>
            <w:tcW w:type="dxa" w:w="2232"/>
            <w:tcMar>
              <w:top w:w="80" w:type="dxa"/>
              <w:start w:w="120" w:type="dxa"/>
              <w:bottom w:w="80" w:type="dxa"/>
              <w:end w:w="120" w:type="dxa"/>
            </w:tcMar>
            <w:shd w:fill="F2F4F7"/>
          </w:tcPr>
          <w:p>
            <w:pPr>
              <w:spacing w:after="0" w:line="240" w:lineRule="auto"/>
            </w:pPr>
            <w:r>
              <w:rPr>
                <w:sz w:val="15"/>
              </w:rPr>
              <w:t>Insulin Glargine B-Chain</w:t>
            </w:r>
          </w:p>
        </w:tc>
        <w:tc>
          <w:tcPr>
            <w:tcW w:type="dxa" w:w="5616"/>
            <w:tcMar>
              <w:top w:w="80" w:type="dxa"/>
              <w:start w:w="120" w:type="dxa"/>
              <w:bottom w:w="80" w:type="dxa"/>
              <w:end w:w="120" w:type="dxa"/>
            </w:tcMar>
            <w:shd w:fill="F2F4F7"/>
          </w:tcPr>
          <w:p>
            <w:pPr>
              <w:spacing w:after="0" w:line="240" w:lineRule="auto"/>
            </w:pPr>
            <w:r>
              <w:rPr>
                <w:sz w:val="15"/>
              </w:rPr>
              <w:t>TTTGTGAACCAGCATCTGTGCGGCAGCCATCTGGTGGAAGCGCTGTACCTGGTGTGCGGCGAACGCGGCTTTTTTTACACCCCAAAAACCCGCCGCTAA</w:t>
            </w:r>
          </w:p>
        </w:tc>
      </w:tr>
    </w:tbl>
    <w:p>
      <w:pPr>
        <w:spacing w:after="20"/>
      </w:pPr>
    </w:p>
    <w:p>
      <w:pPr>
        <w:pStyle w:val="Heading3"/>
      </w:pPr>
      <w:r>
        <w:t>S1.2.1 Experimental insulin glargine A-chain</w:t>
      </w:r>
    </w:p>
    <w:p>
      <w:r>
        <w:t>Optimized coding input (66 bp):</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2F4F7"/>
          </w:tcPr>
          <w:p>
            <w:pPr>
              <w:spacing w:after="60"/>
            </w:pPr>
            <w:r>
              <w:rPr>
                <w:b/>
                <w:color w:val="12233F"/>
              </w:rPr>
              <w:t>5′→3′ input</w:t>
            </w:r>
          </w:p>
          <w:p>
            <w:pPr>
              <w:spacing w:after="0"/>
            </w:pPr>
            <w:r>
              <w:t>GGCATCGTGGAACAGTGCTGCACCAGCATCTGCAGCCTGTACCAGCTGGAAAACTACTGCGGCTAA</w:t>
            </w:r>
          </w:p>
        </w:tc>
      </w:tr>
    </w:tbl>
    <w:p>
      <w:pPr>
        <w:spacing w:after="20"/>
      </w:pPr>
    </w:p>
    <w:p>
      <w:r>
        <w:t>Expected chain peptide: GIVEQCCTSICSLYQLENYCG</w:t>
      </w:r>
    </w:p>
    <w:p>
      <w:r>
        <w:t>Forward order molecule (125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8F1F3"/>
          </w:tcPr>
          <w:p>
            <w:pPr>
              <w:spacing w:after="60"/>
            </w:pPr>
            <w:r>
              <w:rPr>
                <w:b/>
                <w:color w:val="12233F"/>
              </w:rPr>
              <w:t>5′→3′ forward</w:t>
            </w:r>
          </w:p>
          <w:p>
            <w:pPr>
              <w:spacing w:after="0"/>
            </w:pPr>
            <w:r>
              <w:t>TATGGGTTCTTCTCACCACCACCACCACCACTCTTCTGGTCTGGTGCCGCGTGGTTCTGGCATCGTGGAACAGTGCTGCACCAGCATCTGCAGCCTGTACCAGCTGGAAAACTACTGCGGCTAAC</w:t>
            </w:r>
          </w:p>
        </w:tc>
      </w:tr>
    </w:tbl>
    <w:p>
      <w:pPr>
        <w:spacing w:after="20"/>
      </w:pPr>
    </w:p>
    <w:p>
      <w:r>
        <w:t>Reverse order molecule (127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AF3EC"/>
          </w:tcPr>
          <w:p>
            <w:pPr>
              <w:spacing w:after="60"/>
            </w:pPr>
            <w:r>
              <w:rPr>
                <w:b/>
                <w:color w:val="12233F"/>
              </w:rPr>
              <w:t>5′→3′ reverse</w:t>
            </w:r>
          </w:p>
          <w:p>
            <w:pPr>
              <w:spacing w:after="0"/>
            </w:pPr>
            <w:r>
              <w:t>TCGAGTTAGCCGCAGTAGTTTTCCAGCTGGTACAGGCTGCAGATGCTGGTGCAGCACTGTTCCACGATGCCAGAACCACGCGGCACCAGACCAGAAGAGTGGTGGTGGTGGTGGTGAGAAGAACCCA</w:t>
            </w:r>
          </w:p>
        </w:tc>
      </w:tr>
    </w:tbl>
    <w:p>
      <w:pPr>
        <w:spacing w:after="20"/>
      </w:pPr>
    </w:p>
    <w:p>
      <w:r>
        <w:t>Translated cassette: MGSSHHHHHHSSGLVPRGSGIVEQCCTSICSLYQLENYCG*</w:t>
      </w:r>
    </w:p>
    <w:p>
      <w:r>
        <w:t>Validation flags: exact experimental forward match; exact experimental reverse match; exact duplex core; expected product translation.</w:t>
      </w:r>
    </w:p>
    <w:p>
      <w:pPr>
        <w:pStyle w:val="Heading3"/>
      </w:pPr>
      <w:r>
        <w:t>S1.2.2 Experimental insulin glargine B-chain</w:t>
      </w:r>
    </w:p>
    <w:p>
      <w:r>
        <w:t>Optimized coding input (99 bp):</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2F4F7"/>
          </w:tcPr>
          <w:p>
            <w:pPr>
              <w:spacing w:after="60"/>
            </w:pPr>
            <w:r>
              <w:rPr>
                <w:b/>
                <w:color w:val="12233F"/>
              </w:rPr>
              <w:t>5′→3′ input</w:t>
            </w:r>
          </w:p>
          <w:p>
            <w:pPr>
              <w:spacing w:after="0"/>
            </w:pPr>
            <w:r>
              <w:t>TTTGTGAACCAGCATCTGTGCGGCAGCCATCTGGTGGAAGCGCTGTACCTGGTGTGCGGCGAACGCGGCTTTTTTTACACCCCAAAAACCCGCCGCTAA</w:t>
            </w:r>
          </w:p>
        </w:tc>
      </w:tr>
    </w:tbl>
    <w:p>
      <w:pPr>
        <w:spacing w:after="20"/>
      </w:pPr>
    </w:p>
    <w:p>
      <w:r>
        <w:t>Expected chain peptide: FVNQHLCGSHLVEALYLVCGERGFFYTPKTRR</w:t>
      </w:r>
    </w:p>
    <w:p>
      <w:r>
        <w:t>Forward order molecule (158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8F1F3"/>
          </w:tcPr>
          <w:p>
            <w:pPr>
              <w:spacing w:after="60"/>
            </w:pPr>
            <w:r>
              <w:rPr>
                <w:b/>
                <w:color w:val="12233F"/>
              </w:rPr>
              <w:t>5′→3′ forward</w:t>
            </w:r>
          </w:p>
          <w:p>
            <w:pPr>
              <w:spacing w:after="0"/>
            </w:pPr>
            <w:r>
              <w:t>TATGGGTTCTTCTCACCACCACCACCACCACTCTTCTGGTCTGGTGCCGCGTGGTTCTTTTGTGAACCAGCATCTGTGCGGCAGCCATCTGGTGGAAGCGCTGTACCTGGTGTGCGGCGAACGCGGCTTTTTTTACACCCCAAAAACCCGCCGCTAAC</w:t>
            </w:r>
          </w:p>
        </w:tc>
      </w:tr>
    </w:tbl>
    <w:p>
      <w:pPr>
        <w:spacing w:after="20"/>
      </w:pPr>
    </w:p>
    <w:p>
      <w:r>
        <w:t>Reverse order molecule (160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AF3EC"/>
          </w:tcPr>
          <w:p>
            <w:pPr>
              <w:spacing w:after="60"/>
            </w:pPr>
            <w:r>
              <w:rPr>
                <w:b/>
                <w:color w:val="12233F"/>
              </w:rPr>
              <w:t>5′→3′ reverse</w:t>
            </w:r>
          </w:p>
          <w:p>
            <w:pPr>
              <w:spacing w:after="0"/>
            </w:pPr>
            <w:r>
              <w:t>TCGAGTTAGCGGCGGGTTTTTGGGGTGTAAAAAAAGCCGCGTTCGCCGCACACCAGGTACAGCGCTTCCACCAGATGGCTGCCGCACAGATGCTGGTTCACAAAAGAACCACGCGGCACCAGACCAGAAGAGTGGTGGTGGTGGTGGTGAGAAGAACCCA</w:t>
            </w:r>
          </w:p>
        </w:tc>
      </w:tr>
    </w:tbl>
    <w:p>
      <w:pPr>
        <w:spacing w:after="20"/>
      </w:pPr>
    </w:p>
    <w:p>
      <w:r>
        <w:t>Translated cassette: MGSSHHHHHHSSGLVPRGSFVNQHLCGSHLVEALYLVCGERGFFYTPKTRR*</w:t>
      </w:r>
    </w:p>
    <w:p>
      <w:r>
        <w:t>Validation flags: exact experimental forward match; exact experimental reverse match; exact duplex core; expected product translation.</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1944"/>
            <w:tcMar>
              <w:top w:w="80" w:type="dxa"/>
              <w:start w:w="120" w:type="dxa"/>
              <w:bottom w:w="80" w:type="dxa"/>
              <w:end w:w="120" w:type="dxa"/>
            </w:tcMar>
            <w:shd w:fill="12233F"/>
            <w:vAlign w:val="center"/>
          </w:tcPr>
          <w:p>
            <w:pPr>
              <w:spacing w:after="0"/>
            </w:pPr>
            <w:r>
              <w:rPr>
                <w:b/>
                <w:color w:val="FFFFFF"/>
                <w:sz w:val="13"/>
              </w:rPr>
              <w:t>Order molecule</w:t>
            </w:r>
          </w:p>
        </w:tc>
        <w:tc>
          <w:tcPr>
            <w:tcW w:type="dxa" w:w="5400"/>
            <w:tcMar>
              <w:top w:w="80" w:type="dxa"/>
              <w:start w:w="120" w:type="dxa"/>
              <w:bottom w:w="80" w:type="dxa"/>
              <w:end w:w="120" w:type="dxa"/>
            </w:tcMar>
            <w:shd w:fill="12233F"/>
            <w:vAlign w:val="center"/>
          </w:tcPr>
          <w:p>
            <w:pPr>
              <w:spacing w:after="0"/>
            </w:pPr>
            <w:r>
              <w:rPr>
                <w:b/>
                <w:color w:val="FFFFFF"/>
                <w:sz w:val="13"/>
              </w:rPr>
              <w:t>Nucleotide sequence (5′→3′)</w:t>
            </w:r>
          </w:p>
        </w:tc>
        <w:tc>
          <w:tcPr>
            <w:tcW w:type="dxa" w:w="2160"/>
            <w:tcMar>
              <w:top w:w="80" w:type="dxa"/>
              <w:start w:w="120" w:type="dxa"/>
              <w:bottom w:w="80" w:type="dxa"/>
              <w:end w:w="120" w:type="dxa"/>
            </w:tcMar>
            <w:shd w:fill="12233F"/>
            <w:vAlign w:val="center"/>
          </w:tcPr>
          <w:p>
            <w:pPr>
              <w:spacing w:after="0"/>
            </w:pPr>
            <w:r>
              <w:rPr>
                <w:b/>
                <w:color w:val="FFFFFF"/>
                <w:sz w:val="13"/>
              </w:rPr>
              <w:t>Accession / translated product</w:t>
            </w:r>
          </w:p>
        </w:tc>
      </w:tr>
      <w:tr>
        <w:trPr>
          <w:cantSplit/>
        </w:trPr>
        <w:tc>
          <w:tcPr>
            <w:tcW w:type="dxa" w:w="1944"/>
            <w:tcMar>
              <w:top w:w="80" w:type="dxa"/>
              <w:start w:w="120" w:type="dxa"/>
              <w:bottom w:w="80" w:type="dxa"/>
              <w:end w:w="120" w:type="dxa"/>
            </w:tcMar>
          </w:tcPr>
          <w:p>
            <w:pPr>
              <w:spacing w:after="0" w:line="240" w:lineRule="auto"/>
            </w:pPr>
            <w:r>
              <w:rPr>
                <w:sz w:val="13"/>
              </w:rPr>
              <w:t>Synthetic Insulin Glargine A-Chain Forward Sequence</w:t>
            </w:r>
          </w:p>
        </w:tc>
        <w:tc>
          <w:tcPr>
            <w:tcW w:type="dxa" w:w="5400"/>
            <w:tcMar>
              <w:top w:w="80" w:type="dxa"/>
              <w:start w:w="120" w:type="dxa"/>
              <w:bottom w:w="80" w:type="dxa"/>
              <w:end w:w="120" w:type="dxa"/>
            </w:tcMar>
          </w:tcPr>
          <w:p>
            <w:pPr>
              <w:spacing w:after="0" w:line="240" w:lineRule="auto"/>
            </w:pPr>
            <w:r>
              <w:rPr>
                <w:sz w:val="13"/>
              </w:rPr>
              <w:t>TATGGGTTCTTCTCACCACCACCACCACCACTCTTCTGGTCTGGTGCCGCGTGGTTCTGGCATCGTGGAACAGTGCTGCACCAGCATCTGCAGCCTGTACCAGCTGGAAAACTACTGCGGCTAAC</w:t>
            </w:r>
          </w:p>
        </w:tc>
        <w:tc>
          <w:tcPr>
            <w:tcW w:type="dxa" w:w="2160"/>
            <w:tcMar>
              <w:top w:w="80" w:type="dxa"/>
              <w:start w:w="120" w:type="dxa"/>
              <w:bottom w:w="80" w:type="dxa"/>
              <w:end w:w="120" w:type="dxa"/>
            </w:tcMar>
          </w:tcPr>
          <w:p>
            <w:pPr>
              <w:spacing w:after="0" w:line="240" w:lineRule="auto"/>
            </w:pPr>
            <w:r>
              <w:rPr>
                <w:sz w:val="13"/>
              </w:rPr>
              <w:t>GenBank accession number PQ362993 MGSSHHHHHHSSGLVPRGSGIVEQCCTSICSLYQLENYCG (4352.87 Da)</w:t>
            </w:r>
          </w:p>
        </w:tc>
      </w:tr>
      <w:tr>
        <w:trPr>
          <w:cantSplit/>
        </w:trPr>
        <w:tc>
          <w:tcPr>
            <w:tcW w:type="dxa" w:w="1944"/>
            <w:tcMar>
              <w:top w:w="80" w:type="dxa"/>
              <w:start w:w="120" w:type="dxa"/>
              <w:bottom w:w="80" w:type="dxa"/>
              <w:end w:w="120" w:type="dxa"/>
            </w:tcMar>
            <w:shd w:fill="F2F4F7"/>
          </w:tcPr>
          <w:p>
            <w:pPr>
              <w:spacing w:after="0" w:line="240" w:lineRule="auto"/>
            </w:pPr>
            <w:r>
              <w:rPr>
                <w:sz w:val="13"/>
              </w:rPr>
              <w:t>Synthetic Insulin Glargine A-Chain Reverse Sequence</w:t>
            </w:r>
          </w:p>
        </w:tc>
        <w:tc>
          <w:tcPr>
            <w:tcW w:type="dxa" w:w="5400"/>
            <w:tcMar>
              <w:top w:w="80" w:type="dxa"/>
              <w:start w:w="120" w:type="dxa"/>
              <w:bottom w:w="80" w:type="dxa"/>
              <w:end w:w="120" w:type="dxa"/>
            </w:tcMar>
            <w:shd w:fill="F2F4F7"/>
          </w:tcPr>
          <w:p>
            <w:pPr>
              <w:spacing w:after="0" w:line="240" w:lineRule="auto"/>
            </w:pPr>
            <w:r>
              <w:rPr>
                <w:sz w:val="13"/>
              </w:rPr>
              <w:t>TCGAGTTAGCCGCAGTAGTTTTCCAGCTGGTACAGGCTGCAGATGCTGGTGCAGCACTGTTCCACGATGCCAGAACCACGCGGCACCAGACCAGAAGAGTGGTGGTGGTGGTGGTGAGAAGAACCCA</w:t>
            </w:r>
          </w:p>
        </w:tc>
        <w:tc>
          <w:tcPr>
            <w:tcW w:type="dxa" w:w="2160"/>
            <w:tcMar>
              <w:top w:w="80" w:type="dxa"/>
              <w:start w:w="120" w:type="dxa"/>
              <w:bottom w:w="80" w:type="dxa"/>
              <w:end w:w="120" w:type="dxa"/>
            </w:tcMar>
            <w:shd w:fill="F2F4F7"/>
          </w:tcPr>
          <w:p>
            <w:pPr>
              <w:spacing w:after="0" w:line="240" w:lineRule="auto"/>
            </w:pPr>
            <w:r>
              <w:rPr>
                <w:sz w:val="13"/>
              </w:rPr>
              <w:t>GenBank accession number PQ362993 MGSSHHHHHHSSGLVPRGSGIVEQCCTSICSLYQLENYCG (4352.87 Da)</w:t>
            </w:r>
          </w:p>
        </w:tc>
      </w:tr>
      <w:tr>
        <w:trPr>
          <w:cantSplit/>
        </w:trPr>
        <w:tc>
          <w:tcPr>
            <w:tcW w:type="dxa" w:w="1944"/>
            <w:tcMar>
              <w:top w:w="80" w:type="dxa"/>
              <w:start w:w="120" w:type="dxa"/>
              <w:bottom w:w="80" w:type="dxa"/>
              <w:end w:w="120" w:type="dxa"/>
            </w:tcMar>
          </w:tcPr>
          <w:p>
            <w:pPr>
              <w:spacing w:after="0" w:line="240" w:lineRule="auto"/>
            </w:pPr>
            <w:r>
              <w:rPr>
                <w:sz w:val="13"/>
              </w:rPr>
              <w:t>Synthetic Insulin Glargine B-Chain Forward Sequence</w:t>
            </w:r>
          </w:p>
        </w:tc>
        <w:tc>
          <w:tcPr>
            <w:tcW w:type="dxa" w:w="5400"/>
            <w:tcMar>
              <w:top w:w="80" w:type="dxa"/>
              <w:start w:w="120" w:type="dxa"/>
              <w:bottom w:w="80" w:type="dxa"/>
              <w:end w:w="120" w:type="dxa"/>
            </w:tcMar>
          </w:tcPr>
          <w:p>
            <w:pPr>
              <w:spacing w:after="0" w:line="240" w:lineRule="auto"/>
            </w:pPr>
            <w:r>
              <w:rPr>
                <w:sz w:val="13"/>
              </w:rPr>
              <w:t>TATGGGTTCTTCTCACCACCACCACCACCACTCTTCTGGTCTGGTGCCGCGTGGTTCTTTTGTGAACCAGCATCTGTGCGGCAGCCATCTGGTGGAAGCGCTGTACCTGGTGTGCGGCGAACGCGGCTTTTTTTACACCCCAAAAACCCGCCGCTAAC</w:t>
            </w:r>
          </w:p>
        </w:tc>
        <w:tc>
          <w:tcPr>
            <w:tcW w:type="dxa" w:w="2160"/>
            <w:tcMar>
              <w:top w:w="80" w:type="dxa"/>
              <w:start w:w="120" w:type="dxa"/>
              <w:bottom w:w="80" w:type="dxa"/>
              <w:end w:w="120" w:type="dxa"/>
            </w:tcMar>
          </w:tcPr>
          <w:p>
            <w:pPr>
              <w:spacing w:after="0" w:line="240" w:lineRule="auto"/>
            </w:pPr>
            <w:r>
              <w:rPr>
                <w:sz w:val="13"/>
              </w:rPr>
              <w:t>GenBank accession number PQ362994 MGSSHHHHHHSSGLVPRGSFVNQHLCGSHLVEALYLVCGERGFFYTPKTRR (5768.54 Da)</w:t>
            </w:r>
          </w:p>
        </w:tc>
      </w:tr>
      <w:tr>
        <w:trPr>
          <w:cantSplit/>
        </w:trPr>
        <w:tc>
          <w:tcPr>
            <w:tcW w:type="dxa" w:w="1944"/>
            <w:tcMar>
              <w:top w:w="80" w:type="dxa"/>
              <w:start w:w="120" w:type="dxa"/>
              <w:bottom w:w="80" w:type="dxa"/>
              <w:end w:w="120" w:type="dxa"/>
            </w:tcMar>
            <w:shd w:fill="F2F4F7"/>
          </w:tcPr>
          <w:p>
            <w:pPr>
              <w:spacing w:after="0" w:line="240" w:lineRule="auto"/>
            </w:pPr>
            <w:r>
              <w:rPr>
                <w:sz w:val="13"/>
              </w:rPr>
              <w:t>Synthetic Insulin Glargine B-Chain Reverse Sequence</w:t>
            </w:r>
          </w:p>
        </w:tc>
        <w:tc>
          <w:tcPr>
            <w:tcW w:type="dxa" w:w="5400"/>
            <w:tcMar>
              <w:top w:w="80" w:type="dxa"/>
              <w:start w:w="120" w:type="dxa"/>
              <w:bottom w:w="80" w:type="dxa"/>
              <w:end w:w="120" w:type="dxa"/>
            </w:tcMar>
            <w:shd w:fill="F2F4F7"/>
          </w:tcPr>
          <w:p>
            <w:pPr>
              <w:spacing w:after="0" w:line="240" w:lineRule="auto"/>
            </w:pPr>
            <w:r>
              <w:rPr>
                <w:sz w:val="13"/>
              </w:rPr>
              <w:t>TCGAGTTAGCGGCGGGTTTTTGGGGTGTAAAAAAAGCCGCGTTCGCCGCACACCAGGTACAGCGCTTCCACCAGATGGCTGCCGCACAGATGCTGGTTCACAAAAGAACCACGCGGCACCAGACCAGAAGAGTGGTGGTGGTGGTGGTGAGAAGAACCCA</w:t>
            </w:r>
          </w:p>
        </w:tc>
        <w:tc>
          <w:tcPr>
            <w:tcW w:type="dxa" w:w="2160"/>
            <w:tcMar>
              <w:top w:w="80" w:type="dxa"/>
              <w:start w:w="120" w:type="dxa"/>
              <w:bottom w:w="80" w:type="dxa"/>
              <w:end w:w="120" w:type="dxa"/>
            </w:tcMar>
            <w:shd w:fill="F2F4F7"/>
          </w:tcPr>
          <w:p>
            <w:pPr>
              <w:spacing w:after="0" w:line="240" w:lineRule="auto"/>
            </w:pPr>
            <w:r>
              <w:rPr>
                <w:sz w:val="13"/>
              </w:rPr>
              <w:t>GenBank accession number PQ362994 MGSSHHHHHHSSGLVPRGSFVNQHLCGSHLVEALYLVCGERGFFYTPKTRR (5768.54 Da)</w:t>
            </w:r>
          </w:p>
        </w:tc>
      </w:tr>
    </w:tbl>
    <w:p>
      <w:pPr>
        <w:spacing w:after="20"/>
      </w:pPr>
    </w:p>
    <w:p>
      <w:pPr>
        <w:pStyle w:val="Heading1"/>
      </w:pPr>
      <w:r>
        <w:t>S2. Molecular invariants enforced by SSD and ESD</w:t>
      </w:r>
    </w:p>
    <w:p>
      <w:pPr>
        <w:pStyle w:val="ListBullet"/>
        <w:spacing w:after="80" w:line="264" w:lineRule="auto"/>
        <w:ind w:left="720" w:hanging="360"/>
      </w:pPr>
      <w:r>
        <w:t>Input sequences are normalized to unambiguous DNA and coding designs are translated before release.</w:t>
      </w:r>
    </w:p>
    <w:p>
      <w:pPr>
        <w:pStyle w:val="ListBullet"/>
        <w:spacing w:after="80" w:line="264" w:lineRule="auto"/>
        <w:ind w:left="720" w:hanging="360"/>
      </w:pPr>
      <w:r>
        <w:t>SSD releases one complementary forward/reverse synthesis pair; ESD tiles longer targets into multiple ordered complementary pairs with directional internal junctions.</w:t>
      </w:r>
    </w:p>
    <w:p>
      <w:pPr>
        <w:pStyle w:val="ListBullet"/>
        <w:spacing w:after="80" w:line="264" w:lineRule="auto"/>
        <w:ind w:left="720" w:hanging="360"/>
      </w:pPr>
      <w:r>
        <w:t>Recognition sequences and strand cut offsets determine terminal products; overhangs are not stored as pair-specific oligo literals.</w:t>
      </w:r>
    </w:p>
    <w:p>
      <w:pPr>
        <w:pStyle w:val="ListBullet"/>
        <w:spacing w:after="80" w:line="264" w:lineRule="auto"/>
        <w:ind w:left="720" w:hanging="360"/>
      </w:pPr>
      <w:r>
        <w:t>An enzyme supplies an initiating ATG only when the bases retained after cleavage place ATG at the coding boundary.</w:t>
      </w:r>
    </w:p>
    <w:p>
      <w:pPr>
        <w:pStyle w:val="ListBullet"/>
        <w:spacing w:after="80" w:line="264" w:lineRule="auto"/>
        <w:ind w:left="720" w:hanging="360"/>
      </w:pPr>
      <w:r>
        <w:t>The forward and reverse oligonucleotide cores must be exact reverse complements.</w:t>
      </w:r>
    </w:p>
    <w:p>
      <w:pPr>
        <w:pStyle w:val="ListBullet"/>
        <w:spacing w:after="80" w:line="264" w:lineRule="auto"/>
        <w:ind w:left="720" w:hanging="360"/>
      </w:pPr>
      <w:r>
        <w:t>Annealing and ordered ligation must reconstruct the designed molecule on both strands, base for base.</w:t>
      </w:r>
    </w:p>
    <w:p>
      <w:pPr>
        <w:pStyle w:val="ListBullet"/>
        <w:spacing w:after="80" w:line="264" w:lineRule="auto"/>
        <w:ind w:left="720" w:hanging="360"/>
      </w:pPr>
      <w:r>
        <w:t>Internal assembly overhangs must be unique against all used overhangs and their reverse complements; designs widen beyond four bases when required.</w:t>
      </w:r>
    </w:p>
    <w:p>
      <w:pPr>
        <w:pStyle w:val="ListBullet"/>
        <w:spacing w:after="80" w:line="264" w:lineRule="auto"/>
        <w:ind w:left="720" w:hanging="360"/>
      </w:pPr>
      <w:r>
        <w:t>Outer reconstructed ends must equal the selected enzyme products with correct sequence and polarity.</w:t>
      </w:r>
    </w:p>
    <w:p>
      <w:pPr>
        <w:pStyle w:val="ListBullet"/>
        <w:spacing w:after="80" w:line="264" w:lineRule="auto"/>
        <w:ind w:left="720" w:hanging="360"/>
      </w:pPr>
      <w:r>
        <w:t>A cloning vector must contain exactly one site for each selected enzyme; physical vector and insert ends must anneal.</w:t>
      </w:r>
    </w:p>
    <w:p>
      <w:pPr>
        <w:pStyle w:val="ListBullet"/>
        <w:spacing w:after="80" w:line="264" w:lineRule="auto"/>
        <w:ind w:left="720" w:hanging="360"/>
      </w:pPr>
      <w:r>
        <w:t>Coding-junction translation, stop-codon consequences, vector-tag outcomes and site regeneration are reported explicitly.</w:t>
      </w:r>
    </w:p>
    <w:p>
      <w:pPr>
        <w:pStyle w:val="ListBullet"/>
        <w:spacing w:after="80" w:line="264" w:lineRule="auto"/>
        <w:ind w:left="720" w:hanging="360"/>
      </w:pPr>
      <w:r>
        <w:t>Full sequence verification requires complete requested-region coverage and zero confident unexplained differences.</w:t>
      </w:r>
    </w:p>
    <w:p>
      <w:pPr>
        <w:pStyle w:val="Heading1"/>
      </w:pPr>
      <w:r>
        <w:t>S3. Reproducibility</w:t>
      </w:r>
    </w:p>
    <w:p>
      <w:r>
        <w:t>Execute from the repository root with Python 3.12.13 and the locked project dependencies:</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2F4F7"/>
          </w:tcPr>
          <w:p>
            <w:pPr>
              <w:spacing w:after="60"/>
            </w:pPr>
            <w:r>
              <w:rPr>
                <w:b/>
                <w:color w:val="12233F"/>
              </w:rPr>
              <w:t>Commands</w:t>
            </w:r>
          </w:p>
          <w:p>
            <w:pPr>
              <w:spacing w:after="0"/>
            </w:pPr>
            <w:r>
              <w:t>python tools/publication/validate_peptide_and_enzyme_logic.py</w:t>
              <w:br/>
              <w:t>python tools/publication/design_glargine_case_study.py --source-record tools/publication/insulin_glargine_experimental_record.json --output publication_evidence/glargine_ab_design_and_cloning.json</w:t>
              <w:br/>
              <w:t>python tools/publication/validate_insulin_correct_traces.py --root &lt;reference-data-root&gt; --trace-dir publication_evidence/validated_traces --output-dir publication_evidence/sequencing_validation</w:t>
              <w:br/>
              <w:t>python -m pytest gsynth_engine/tests -q</w:t>
              <w:br/>
              <w:t>cd django_app &amp;&amp; python -m pytest -q</w:t>
              <w:br/>
              <w:t>cd ../frontend &amp;&amp; npm test -- --run</w:t>
            </w:r>
          </w:p>
        </w:tc>
      </w:tr>
    </w:tbl>
    <w:p>
      <w:pPr>
        <w:spacing w:after="20"/>
      </w:pP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1800"/>
            <w:tcMar>
              <w:top w:w="80" w:type="dxa"/>
              <w:start w:w="120" w:type="dxa"/>
              <w:bottom w:w="80" w:type="dxa"/>
              <w:end w:w="120" w:type="dxa"/>
            </w:tcMar>
            <w:shd w:fill="12233F"/>
            <w:vAlign w:val="center"/>
          </w:tcPr>
          <w:p>
            <w:pPr>
              <w:spacing w:after="0"/>
            </w:pPr>
            <w:r>
              <w:rPr>
                <w:b/>
                <w:color w:val="FFFFFF"/>
                <w:sz w:val="16"/>
              </w:rPr>
              <w:t>Evidence object</w:t>
            </w:r>
          </w:p>
        </w:tc>
        <w:tc>
          <w:tcPr>
            <w:tcW w:type="dxa" w:w="4032"/>
            <w:tcMar>
              <w:top w:w="80" w:type="dxa"/>
              <w:start w:w="120" w:type="dxa"/>
              <w:bottom w:w="80" w:type="dxa"/>
              <w:end w:w="120" w:type="dxa"/>
            </w:tcMar>
            <w:shd w:fill="12233F"/>
            <w:vAlign w:val="center"/>
          </w:tcPr>
          <w:p>
            <w:pPr>
              <w:spacing w:after="0"/>
            </w:pPr>
            <w:r>
              <w:rPr>
                <w:b/>
                <w:color w:val="FFFFFF"/>
                <w:sz w:val="16"/>
              </w:rPr>
              <w:t>Location</w:t>
            </w:r>
          </w:p>
        </w:tc>
        <w:tc>
          <w:tcPr>
            <w:tcW w:type="dxa" w:w="3672"/>
            <w:tcMar>
              <w:top w:w="80" w:type="dxa"/>
              <w:start w:w="120" w:type="dxa"/>
              <w:bottom w:w="80" w:type="dxa"/>
              <w:end w:w="120" w:type="dxa"/>
            </w:tcMar>
            <w:shd w:fill="12233F"/>
            <w:vAlign w:val="center"/>
          </w:tcPr>
          <w:p>
            <w:pPr>
              <w:spacing w:after="0"/>
            </w:pPr>
            <w:r>
              <w:rPr>
                <w:b/>
                <w:color w:val="FFFFFF"/>
                <w:sz w:val="16"/>
              </w:rPr>
              <w:t>Purpose</w:t>
            </w:r>
          </w:p>
        </w:tc>
      </w:tr>
      <w:tr>
        <w:trPr>
          <w:cantSplit/>
        </w:trPr>
        <w:tc>
          <w:tcPr>
            <w:tcW w:type="dxa" w:w="1800"/>
            <w:tcMar>
              <w:top w:w="80" w:type="dxa"/>
              <w:start w:w="120" w:type="dxa"/>
              <w:bottom w:w="80" w:type="dxa"/>
              <w:end w:w="120" w:type="dxa"/>
            </w:tcMar>
          </w:tcPr>
          <w:p>
            <w:pPr>
              <w:spacing w:after="0" w:line="240" w:lineRule="auto"/>
            </w:pPr>
            <w:r>
              <w:rPr>
                <w:sz w:val="16"/>
              </w:rPr>
              <w:t>Protein-to-clone JSON</w:t>
            </w:r>
          </w:p>
        </w:tc>
        <w:tc>
          <w:tcPr>
            <w:tcW w:type="dxa" w:w="4032"/>
            <w:tcMar>
              <w:top w:w="80" w:type="dxa"/>
              <w:start w:w="120" w:type="dxa"/>
              <w:bottom w:w="80" w:type="dxa"/>
              <w:end w:w="120" w:type="dxa"/>
            </w:tcMar>
          </w:tcPr>
          <w:p>
            <w:pPr>
              <w:spacing w:after="0" w:line="240" w:lineRule="auto"/>
            </w:pPr>
            <w:r>
              <w:rPr>
                <w:sz w:val="16"/>
              </w:rPr>
              <w:t>publication_evidence/peptide_and_enzyme_validation.json</w:t>
            </w:r>
          </w:p>
        </w:tc>
        <w:tc>
          <w:tcPr>
            <w:tcW w:type="dxa" w:w="3672"/>
            <w:tcMar>
              <w:top w:w="80" w:type="dxa"/>
              <w:start w:w="120" w:type="dxa"/>
              <w:bottom w:w="80" w:type="dxa"/>
              <w:end w:w="120" w:type="dxa"/>
            </w:tcMar>
          </w:tcPr>
          <w:p>
            <w:pPr>
              <w:spacing w:after="0" w:line="240" w:lineRule="auto"/>
            </w:pPr>
            <w:r>
              <w:rPr>
                <w:sz w:val="16"/>
              </w:rPr>
              <w:t>Current glargine protein inputs, codon outputs, SSD molecules, duplexes, junctions and hashes</w:t>
            </w:r>
          </w:p>
        </w:tc>
      </w:tr>
      <w:tr>
        <w:trPr>
          <w:cantSplit/>
        </w:trPr>
        <w:tc>
          <w:tcPr>
            <w:tcW w:type="dxa" w:w="1800"/>
            <w:tcMar>
              <w:top w:w="80" w:type="dxa"/>
              <w:start w:w="120" w:type="dxa"/>
              <w:bottom w:w="80" w:type="dxa"/>
              <w:end w:w="120" w:type="dxa"/>
            </w:tcMar>
            <w:shd w:fill="F2F4F7"/>
          </w:tcPr>
          <w:p>
            <w:pPr>
              <w:spacing w:after="0" w:line="240" w:lineRule="auto"/>
            </w:pPr>
            <w:r>
              <w:rPr>
                <w:sz w:val="16"/>
              </w:rPr>
              <w:t>Design/cloning JSON</w:t>
            </w:r>
          </w:p>
        </w:tc>
        <w:tc>
          <w:tcPr>
            <w:tcW w:type="dxa" w:w="4032"/>
            <w:tcMar>
              <w:top w:w="80" w:type="dxa"/>
              <w:start w:w="120" w:type="dxa"/>
              <w:bottom w:w="80" w:type="dxa"/>
              <w:end w:w="120" w:type="dxa"/>
            </w:tcMar>
            <w:shd w:fill="F2F4F7"/>
          </w:tcPr>
          <w:p>
            <w:pPr>
              <w:spacing w:after="0" w:line="240" w:lineRule="auto"/>
            </w:pPr>
            <w:r>
              <w:rPr>
                <w:sz w:val="16"/>
              </w:rPr>
              <w:t>publication_evidence/glargine_ab_design_and_cloning.json</w:t>
            </w:r>
          </w:p>
        </w:tc>
        <w:tc>
          <w:tcPr>
            <w:tcW w:type="dxa" w:w="3672"/>
            <w:tcMar>
              <w:top w:w="80" w:type="dxa"/>
              <w:start w:w="120" w:type="dxa"/>
              <w:bottom w:w="80" w:type="dxa"/>
              <w:end w:w="120" w:type="dxa"/>
            </w:tcMar>
            <w:shd w:fill="F2F4F7"/>
          </w:tcPr>
          <w:p>
            <w:pPr>
              <w:spacing w:after="0" w:line="240" w:lineRule="auto"/>
            </w:pPr>
            <w:r>
              <w:rPr>
                <w:sz w:val="16"/>
              </w:rPr>
              <w:t>Exact molecules, segments, translations, junctions, warnings and source hash</w:t>
            </w:r>
          </w:p>
        </w:tc>
      </w:tr>
      <w:tr>
        <w:trPr>
          <w:cantSplit/>
        </w:trPr>
        <w:tc>
          <w:tcPr>
            <w:tcW w:type="dxa" w:w="1800"/>
            <w:tcMar>
              <w:top w:w="80" w:type="dxa"/>
              <w:start w:w="120" w:type="dxa"/>
              <w:bottom w:w="80" w:type="dxa"/>
              <w:end w:w="120" w:type="dxa"/>
            </w:tcMar>
          </w:tcPr>
          <w:p>
            <w:pPr>
              <w:spacing w:after="0" w:line="240" w:lineRule="auto"/>
            </w:pPr>
            <w:r>
              <w:rPr>
                <w:sz w:val="16"/>
              </w:rPr>
              <w:t>Sequencing JSON</w:t>
            </w:r>
          </w:p>
        </w:tc>
        <w:tc>
          <w:tcPr>
            <w:tcW w:type="dxa" w:w="4032"/>
            <w:tcMar>
              <w:top w:w="80" w:type="dxa"/>
              <w:start w:w="120" w:type="dxa"/>
              <w:bottom w:w="80" w:type="dxa"/>
              <w:end w:w="120" w:type="dxa"/>
            </w:tcMar>
          </w:tcPr>
          <w:p>
            <w:pPr>
              <w:spacing w:after="0" w:line="240" w:lineRule="auto"/>
            </w:pPr>
            <w:r>
              <w:rPr>
                <w:sz w:val="16"/>
              </w:rPr>
              <w:t>publication_evidence/sequencing_validation/glargine_approved_trace_validation.json</w:t>
            </w:r>
          </w:p>
        </w:tc>
        <w:tc>
          <w:tcPr>
            <w:tcW w:type="dxa" w:w="3672"/>
            <w:tcMar>
              <w:top w:w="80" w:type="dxa"/>
              <w:start w:w="120" w:type="dxa"/>
              <w:bottom w:w="80" w:type="dxa"/>
              <w:end w:w="120" w:type="dxa"/>
            </w:tcMar>
          </w:tcPr>
          <w:p>
            <w:pPr>
              <w:spacing w:after="0" w:line="240" w:lineRule="auto"/>
            </w:pPr>
            <w:r>
              <w:rPr>
                <w:sz w:val="16"/>
              </w:rPr>
              <w:t>Approved-file policy, hashes, primary F/R consensus metrics, post hoc quality sensitivity and Biopython check</w:t>
            </w:r>
          </w:p>
        </w:tc>
      </w:tr>
      <w:tr>
        <w:trPr>
          <w:cantSplit/>
        </w:trPr>
        <w:tc>
          <w:tcPr>
            <w:tcW w:type="dxa" w:w="1800"/>
            <w:tcMar>
              <w:top w:w="80" w:type="dxa"/>
              <w:start w:w="120" w:type="dxa"/>
              <w:bottom w:w="80" w:type="dxa"/>
              <w:end w:w="120" w:type="dxa"/>
            </w:tcMar>
            <w:shd w:fill="F2F4F7"/>
          </w:tcPr>
          <w:p>
            <w:pPr>
              <w:spacing w:after="0" w:line="240" w:lineRule="auto"/>
            </w:pPr>
            <w:r>
              <w:rPr>
                <w:sz w:val="16"/>
              </w:rPr>
              <w:t>Design script</w:t>
            </w:r>
          </w:p>
        </w:tc>
        <w:tc>
          <w:tcPr>
            <w:tcW w:type="dxa" w:w="4032"/>
            <w:tcMar>
              <w:top w:w="80" w:type="dxa"/>
              <w:start w:w="120" w:type="dxa"/>
              <w:bottom w:w="80" w:type="dxa"/>
              <w:end w:w="120" w:type="dxa"/>
            </w:tcMar>
            <w:shd w:fill="F2F4F7"/>
          </w:tcPr>
          <w:p>
            <w:pPr>
              <w:spacing w:after="0" w:line="240" w:lineRule="auto"/>
            </w:pPr>
            <w:r>
              <w:rPr>
                <w:sz w:val="16"/>
              </w:rPr>
              <w:t>tools/publication/design_glargine_case_study.py</w:t>
            </w:r>
          </w:p>
        </w:tc>
        <w:tc>
          <w:tcPr>
            <w:tcW w:type="dxa" w:w="3672"/>
            <w:tcMar>
              <w:top w:w="80" w:type="dxa"/>
              <w:start w:w="120" w:type="dxa"/>
              <w:bottom w:w="80" w:type="dxa"/>
              <w:end w:w="120" w:type="dxa"/>
            </w:tcMar>
            <w:shd w:fill="F2F4F7"/>
          </w:tcPr>
          <w:p>
            <w:pPr>
              <w:spacing w:after="0" w:line="240" w:lineRule="auto"/>
            </w:pPr>
            <w:r>
              <w:rPr>
                <w:sz w:val="16"/>
              </w:rPr>
              <w:t>Executable glargine case study with equality assertions</w:t>
            </w:r>
          </w:p>
        </w:tc>
      </w:tr>
      <w:tr>
        <w:trPr>
          <w:cantSplit/>
        </w:trPr>
        <w:tc>
          <w:tcPr>
            <w:tcW w:type="dxa" w:w="1800"/>
            <w:tcMar>
              <w:top w:w="80" w:type="dxa"/>
              <w:start w:w="120" w:type="dxa"/>
              <w:bottom w:w="80" w:type="dxa"/>
              <w:end w:w="120" w:type="dxa"/>
            </w:tcMar>
          </w:tcPr>
          <w:p>
            <w:pPr>
              <w:spacing w:after="0" w:line="240" w:lineRule="auto"/>
            </w:pPr>
            <w:r>
              <w:rPr>
                <w:sz w:val="16"/>
              </w:rPr>
              <w:t>Trace script</w:t>
            </w:r>
          </w:p>
        </w:tc>
        <w:tc>
          <w:tcPr>
            <w:tcW w:type="dxa" w:w="4032"/>
            <w:tcMar>
              <w:top w:w="80" w:type="dxa"/>
              <w:start w:w="120" w:type="dxa"/>
              <w:bottom w:w="80" w:type="dxa"/>
              <w:end w:w="120" w:type="dxa"/>
            </w:tcMar>
          </w:tcPr>
          <w:p>
            <w:pPr>
              <w:spacing w:after="0" w:line="240" w:lineRule="auto"/>
            </w:pPr>
            <w:r>
              <w:rPr>
                <w:sz w:val="16"/>
              </w:rPr>
              <w:t>tools/publication/validate_insulin_correct_traces.py</w:t>
            </w:r>
          </w:p>
        </w:tc>
        <w:tc>
          <w:tcPr>
            <w:tcW w:type="dxa" w:w="3672"/>
            <w:tcMar>
              <w:top w:w="80" w:type="dxa"/>
              <w:start w:w="120" w:type="dxa"/>
              <w:bottom w:w="80" w:type="dxa"/>
              <w:end w:w="120" w:type="dxa"/>
            </w:tcMar>
          </w:tcPr>
          <w:p>
            <w:pPr>
              <w:spacing w:after="0" w:line="240" w:lineRule="auto"/>
            </w:pPr>
            <w:r>
              <w:rPr>
                <w:sz w:val="16"/>
              </w:rPr>
              <w:t>Executable four-file sequencing analysis and figure generation</w:t>
            </w:r>
          </w:p>
        </w:tc>
      </w:tr>
      <w:tr>
        <w:trPr>
          <w:cantSplit/>
        </w:trPr>
        <w:tc>
          <w:tcPr>
            <w:tcW w:type="dxa" w:w="1800"/>
            <w:tcMar>
              <w:top w:w="80" w:type="dxa"/>
              <w:start w:w="120" w:type="dxa"/>
              <w:bottom w:w="80" w:type="dxa"/>
              <w:end w:w="120" w:type="dxa"/>
            </w:tcMar>
            <w:shd w:fill="F2F4F7"/>
          </w:tcPr>
          <w:p>
            <w:pPr>
              <w:spacing w:after="0" w:line="240" w:lineRule="auto"/>
            </w:pPr>
            <w:r>
              <w:rPr>
                <w:sz w:val="16"/>
              </w:rPr>
              <w:t>Protein workflow script</w:t>
            </w:r>
          </w:p>
        </w:tc>
        <w:tc>
          <w:tcPr>
            <w:tcW w:type="dxa" w:w="4032"/>
            <w:tcMar>
              <w:top w:w="80" w:type="dxa"/>
              <w:start w:w="120" w:type="dxa"/>
              <w:bottom w:w="80" w:type="dxa"/>
              <w:end w:w="120" w:type="dxa"/>
            </w:tcMar>
            <w:shd w:fill="F2F4F7"/>
          </w:tcPr>
          <w:p>
            <w:pPr>
              <w:spacing w:after="0" w:line="240" w:lineRule="auto"/>
            </w:pPr>
            <w:r>
              <w:rPr>
                <w:sz w:val="16"/>
              </w:rPr>
              <w:t>tools/publication/validate_peptide_and_enzyme_logic.py</w:t>
            </w:r>
          </w:p>
        </w:tc>
        <w:tc>
          <w:tcPr>
            <w:tcW w:type="dxa" w:w="3672"/>
            <w:tcMar>
              <w:top w:w="80" w:type="dxa"/>
              <w:start w:w="120" w:type="dxa"/>
              <w:bottom w:w="80" w:type="dxa"/>
              <w:end w:w="120" w:type="dxa"/>
            </w:tcMar>
            <w:shd w:fill="F2F4F7"/>
          </w:tcPr>
          <w:p>
            <w:pPr>
              <w:spacing w:after="0" w:line="240" w:lineRule="auto"/>
            </w:pPr>
            <w:r>
              <w:rPr>
                <w:sz w:val="16"/>
              </w:rPr>
              <w:t>Executable peptide-role, reverse-translation, SSD, cloning and enzyme checks</w:t>
            </w:r>
          </w:p>
        </w:tc>
      </w:tr>
    </w:tbl>
    <w:p>
      <w:pPr>
        <w:spacing w:after="20"/>
      </w:pPr>
    </w:p>
    <w:p>
      <w:pPr>
        <w:pStyle w:val="Heading1"/>
      </w:pPr>
      <w:r>
        <w:t>S4. Unabridged experimental oligonucleotide synthesis and cloning record</w:t>
      </w:r>
    </w:p>
    <w:p>
      <w:r>
        <w:t>The record below preserves the complete experimental procedures relevant to the G-Synth validation. Laboratory notebooks and instrument exports remain the authoritative operational record. Oligonucleotides were synthesized on a MerMade 4 instrument using 1-µmol, 1000-Å universal supports and DMT-off processing.</w:t>
      </w:r>
    </w:p>
    <w:p>
      <w:r>
        <w:t>Purification used an equal volume of cold butanol, 30 s vortexing, 30 min at −20 °C and 15 min centrifugation at 14,000 rpm and 4 °C. Pellets were washed twice with 1 mL 70% ethanol at −20 °C, centrifuged for 10 min, air-dried and resuspended. Exact rotor radius is not recorded, so relative centrifugal force cannot be reconstructed from rpm; future protocols should report ×g.</w:t>
      </w:r>
    </w:p>
    <w:p>
      <w:r>
        <w:t>Hybridization combined 10 µL of each complementary strand with 20 µL 2× SSC containing 0.1% SDS. Samples were heated at 95 °C for 5 min and cooled to room temperature over 30 min. pET-21a(+) digestion used 1 µg vector, 10 U NdeI, 10 U XhoI and 1× CutSmart buffer in 50 µL for 2 h at 37 °C. Gel-purified vector was ligated to duplex insert at a nominal 3:1 molar ratio with 50 ng vector and 400 U T4 DNA ligase in 20 µL at 16 °C for 2 h followed by 4 °C overnight. E. coli DH5α cells were heat-shock transformed for 50 s at 42 °C, recovered in SOC and selected on 100 µg/mL ampicillin.</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1930"/>
        <w:gridCol w:w="1930"/>
        <w:gridCol w:w="1930"/>
        <w:gridCol w:w="1930"/>
        <w:gridCol w:w="1930"/>
      </w:tblGrid>
      <w:tr>
        <w:trPr>
          <w:tblHeader w:val="true"/>
        </w:trPr>
        <w:tc>
          <w:tcPr>
            <w:tcW w:type="dxa" w:w="2664"/>
            <w:tcMar>
              <w:top w:w="80" w:type="dxa"/>
              <w:start w:w="120" w:type="dxa"/>
              <w:bottom w:w="80" w:type="dxa"/>
              <w:end w:w="120" w:type="dxa"/>
            </w:tcMar>
            <w:shd w:fill="12233F"/>
            <w:vAlign w:val="center"/>
          </w:tcPr>
          <w:p>
            <w:pPr>
              <w:spacing w:after="0"/>
            </w:pPr>
            <w:r>
              <w:rPr>
                <w:b/>
                <w:color w:val="FFFFFF"/>
                <w:sz w:val="16"/>
              </w:rPr>
              <w:t>Measurement</w:t>
            </w:r>
          </w:p>
        </w:tc>
        <w:tc>
          <w:tcPr>
            <w:tcW w:type="dxa" w:w="1699"/>
            <w:tcMar>
              <w:top w:w="80" w:type="dxa"/>
              <w:start w:w="120" w:type="dxa"/>
              <w:bottom w:w="80" w:type="dxa"/>
              <w:end w:w="120" w:type="dxa"/>
            </w:tcMar>
            <w:shd w:fill="12233F"/>
            <w:vAlign w:val="center"/>
          </w:tcPr>
          <w:p>
            <w:pPr>
              <w:spacing w:after="0"/>
            </w:pPr>
            <w:r>
              <w:rPr>
                <w:b/>
                <w:color w:val="FFFFFF"/>
                <w:sz w:val="16"/>
              </w:rPr>
              <w:t>A forward</w:t>
            </w:r>
          </w:p>
        </w:tc>
        <w:tc>
          <w:tcPr>
            <w:tcW w:type="dxa" w:w="1699"/>
            <w:tcMar>
              <w:top w:w="80" w:type="dxa"/>
              <w:start w:w="120" w:type="dxa"/>
              <w:bottom w:w="80" w:type="dxa"/>
              <w:end w:w="120" w:type="dxa"/>
            </w:tcMar>
            <w:shd w:fill="12233F"/>
            <w:vAlign w:val="center"/>
          </w:tcPr>
          <w:p>
            <w:pPr>
              <w:spacing w:after="0"/>
            </w:pPr>
            <w:r>
              <w:rPr>
                <w:b/>
                <w:color w:val="FFFFFF"/>
                <w:sz w:val="16"/>
              </w:rPr>
              <w:t>A reverse</w:t>
            </w:r>
          </w:p>
        </w:tc>
        <w:tc>
          <w:tcPr>
            <w:tcW w:type="dxa" w:w="1699"/>
            <w:tcMar>
              <w:top w:w="80" w:type="dxa"/>
              <w:start w:w="120" w:type="dxa"/>
              <w:bottom w:w="80" w:type="dxa"/>
              <w:end w:w="120" w:type="dxa"/>
            </w:tcMar>
            <w:shd w:fill="12233F"/>
            <w:vAlign w:val="center"/>
          </w:tcPr>
          <w:p>
            <w:pPr>
              <w:spacing w:after="0"/>
            </w:pPr>
            <w:r>
              <w:rPr>
                <w:b/>
                <w:color w:val="FFFFFF"/>
                <w:sz w:val="16"/>
              </w:rPr>
              <w:t>B forward</w:t>
            </w:r>
          </w:p>
        </w:tc>
        <w:tc>
          <w:tcPr>
            <w:tcW w:type="dxa" w:w="1699"/>
            <w:tcMar>
              <w:top w:w="80" w:type="dxa"/>
              <w:start w:w="120" w:type="dxa"/>
              <w:bottom w:w="80" w:type="dxa"/>
              <w:end w:w="120" w:type="dxa"/>
            </w:tcMar>
            <w:shd w:fill="12233F"/>
            <w:vAlign w:val="center"/>
          </w:tcPr>
          <w:p>
            <w:pPr>
              <w:spacing w:after="0"/>
            </w:pPr>
            <w:r>
              <w:rPr>
                <w:b/>
                <w:color w:val="FFFFFF"/>
                <w:sz w:val="16"/>
              </w:rPr>
              <w:t>B reverse</w:t>
            </w:r>
          </w:p>
        </w:tc>
      </w:tr>
      <w:tr>
        <w:trPr>
          <w:cantSplit/>
        </w:trPr>
        <w:tc>
          <w:tcPr>
            <w:tcW w:type="dxa" w:w="2664"/>
            <w:tcMar>
              <w:top w:w="80" w:type="dxa"/>
              <w:start w:w="120" w:type="dxa"/>
              <w:bottom w:w="80" w:type="dxa"/>
              <w:end w:w="120" w:type="dxa"/>
            </w:tcMar>
          </w:tcPr>
          <w:p>
            <w:pPr>
              <w:spacing w:after="0" w:line="240" w:lineRule="auto"/>
            </w:pPr>
            <w:r>
              <w:rPr>
                <w:sz w:val="16"/>
              </w:rPr>
              <w:t>ssDNA concentration (ng/µL)</w:t>
            </w:r>
          </w:p>
        </w:tc>
        <w:tc>
          <w:tcPr>
            <w:tcW w:type="dxa" w:w="1699"/>
            <w:tcMar>
              <w:top w:w="80" w:type="dxa"/>
              <w:start w:w="120" w:type="dxa"/>
              <w:bottom w:w="80" w:type="dxa"/>
              <w:end w:w="120" w:type="dxa"/>
            </w:tcMar>
          </w:tcPr>
          <w:p>
            <w:pPr>
              <w:spacing w:after="0" w:line="240" w:lineRule="auto"/>
            </w:pPr>
            <w:r>
              <w:rPr>
                <w:sz w:val="16"/>
              </w:rPr>
              <w:t>1702.52</w:t>
            </w:r>
          </w:p>
        </w:tc>
        <w:tc>
          <w:tcPr>
            <w:tcW w:type="dxa" w:w="1699"/>
            <w:tcMar>
              <w:top w:w="80" w:type="dxa"/>
              <w:start w:w="120" w:type="dxa"/>
              <w:bottom w:w="80" w:type="dxa"/>
              <w:end w:w="120" w:type="dxa"/>
            </w:tcMar>
          </w:tcPr>
          <w:p>
            <w:pPr>
              <w:spacing w:after="0" w:line="240" w:lineRule="auto"/>
            </w:pPr>
            <w:r>
              <w:rPr>
                <w:sz w:val="16"/>
              </w:rPr>
              <w:t>1709.40</w:t>
            </w:r>
          </w:p>
        </w:tc>
        <w:tc>
          <w:tcPr>
            <w:tcW w:type="dxa" w:w="1699"/>
            <w:tcMar>
              <w:top w:w="80" w:type="dxa"/>
              <w:start w:w="120" w:type="dxa"/>
              <w:bottom w:w="80" w:type="dxa"/>
              <w:end w:w="120" w:type="dxa"/>
            </w:tcMar>
          </w:tcPr>
          <w:p>
            <w:pPr>
              <w:spacing w:after="0" w:line="240" w:lineRule="auto"/>
            </w:pPr>
            <w:r>
              <w:rPr>
                <w:sz w:val="16"/>
              </w:rPr>
              <w:t>1688.51</w:t>
            </w:r>
          </w:p>
        </w:tc>
        <w:tc>
          <w:tcPr>
            <w:tcW w:type="dxa" w:w="1699"/>
            <w:tcMar>
              <w:top w:w="80" w:type="dxa"/>
              <w:start w:w="120" w:type="dxa"/>
              <w:bottom w:w="80" w:type="dxa"/>
              <w:end w:w="120" w:type="dxa"/>
            </w:tcMar>
          </w:tcPr>
          <w:p>
            <w:pPr>
              <w:spacing w:after="0" w:line="240" w:lineRule="auto"/>
            </w:pPr>
            <w:r>
              <w:rPr>
                <w:sz w:val="16"/>
              </w:rPr>
              <w:t>1703.60</w:t>
            </w:r>
          </w:p>
        </w:tc>
      </w:tr>
      <w:tr>
        <w:trPr>
          <w:cantSplit/>
        </w:trPr>
        <w:tc>
          <w:tcPr>
            <w:tcW w:type="dxa" w:w="2664"/>
            <w:tcMar>
              <w:top w:w="80" w:type="dxa"/>
              <w:start w:w="120" w:type="dxa"/>
              <w:bottom w:w="80" w:type="dxa"/>
              <w:end w:w="120" w:type="dxa"/>
            </w:tcMar>
            <w:shd w:fill="F2F4F7"/>
          </w:tcPr>
          <w:p>
            <w:pPr>
              <w:spacing w:after="0" w:line="240" w:lineRule="auto"/>
            </w:pPr>
            <w:r>
              <w:rPr>
                <w:sz w:val="16"/>
              </w:rPr>
              <w:t>dsDNA concentration by ScanDrop (ng/µL)</w:t>
            </w:r>
          </w:p>
        </w:tc>
        <w:tc>
          <w:tcPr>
            <w:tcW w:type="dxa" w:w="1699"/>
            <w:tcMar>
              <w:top w:w="80" w:type="dxa"/>
              <w:start w:w="120" w:type="dxa"/>
              <w:bottom w:w="80" w:type="dxa"/>
              <w:end w:w="120" w:type="dxa"/>
            </w:tcMar>
            <w:shd w:fill="F2F4F7"/>
          </w:tcPr>
          <w:p>
            <w:pPr>
              <w:spacing w:after="0" w:line="240" w:lineRule="auto"/>
            </w:pPr>
            <w:r>
              <w:rPr>
                <w:sz w:val="16"/>
              </w:rPr>
              <w:t>830</w:t>
            </w:r>
          </w:p>
        </w:tc>
        <w:tc>
          <w:tcPr>
            <w:tcW w:type="dxa" w:w="1699"/>
            <w:tcMar>
              <w:top w:w="80" w:type="dxa"/>
              <w:start w:w="120" w:type="dxa"/>
              <w:bottom w:w="80" w:type="dxa"/>
              <w:end w:w="120" w:type="dxa"/>
            </w:tcMar>
            <w:shd w:fill="F2F4F7"/>
          </w:tcPr>
          <w:p>
            <w:pPr>
              <w:spacing w:after="0" w:line="240" w:lineRule="auto"/>
            </w:pPr>
            <w:r>
              <w:rPr>
                <w:sz w:val="16"/>
              </w:rPr>
              <w:t>830</w:t>
            </w:r>
          </w:p>
        </w:tc>
        <w:tc>
          <w:tcPr>
            <w:tcW w:type="dxa" w:w="1699"/>
            <w:tcMar>
              <w:top w:w="80" w:type="dxa"/>
              <w:start w:w="120" w:type="dxa"/>
              <w:bottom w:w="80" w:type="dxa"/>
              <w:end w:w="120" w:type="dxa"/>
            </w:tcMar>
            <w:shd w:fill="F2F4F7"/>
          </w:tcPr>
          <w:p>
            <w:pPr>
              <w:spacing w:after="0" w:line="240" w:lineRule="auto"/>
            </w:pPr>
            <w:r>
              <w:rPr>
                <w:sz w:val="16"/>
              </w:rPr>
              <w:t>1936</w:t>
            </w:r>
          </w:p>
        </w:tc>
        <w:tc>
          <w:tcPr>
            <w:tcW w:type="dxa" w:w="1699"/>
            <w:tcMar>
              <w:top w:w="80" w:type="dxa"/>
              <w:start w:w="120" w:type="dxa"/>
              <w:bottom w:w="80" w:type="dxa"/>
              <w:end w:w="120" w:type="dxa"/>
            </w:tcMar>
            <w:shd w:fill="F2F4F7"/>
          </w:tcPr>
          <w:p>
            <w:pPr>
              <w:spacing w:after="0" w:line="240" w:lineRule="auto"/>
            </w:pPr>
            <w:r>
              <w:rPr>
                <w:sz w:val="16"/>
              </w:rPr>
              <w:t>1936</w:t>
            </w:r>
          </w:p>
        </w:tc>
      </w:tr>
      <w:tr>
        <w:trPr>
          <w:cantSplit/>
        </w:trPr>
        <w:tc>
          <w:tcPr>
            <w:tcW w:type="dxa" w:w="2664"/>
            <w:tcMar>
              <w:top w:w="80" w:type="dxa"/>
              <w:start w:w="120" w:type="dxa"/>
              <w:bottom w:w="80" w:type="dxa"/>
              <w:end w:w="120" w:type="dxa"/>
            </w:tcMar>
          </w:tcPr>
          <w:p>
            <w:pPr>
              <w:spacing w:after="0" w:line="240" w:lineRule="auto"/>
            </w:pPr>
            <w:r>
              <w:rPr>
                <w:sz w:val="16"/>
              </w:rPr>
              <w:t>dsDNA A260/A280</w:t>
            </w:r>
          </w:p>
        </w:tc>
        <w:tc>
          <w:tcPr>
            <w:tcW w:type="dxa" w:w="1699"/>
            <w:tcMar>
              <w:top w:w="80" w:type="dxa"/>
              <w:start w:w="120" w:type="dxa"/>
              <w:bottom w:w="80" w:type="dxa"/>
              <w:end w:w="120" w:type="dxa"/>
            </w:tcMar>
          </w:tcPr>
          <w:p>
            <w:pPr>
              <w:spacing w:after="0" w:line="240" w:lineRule="auto"/>
            </w:pPr>
            <w:r>
              <w:rPr>
                <w:sz w:val="16"/>
              </w:rPr>
              <w:t>1.92</w:t>
            </w:r>
          </w:p>
        </w:tc>
        <w:tc>
          <w:tcPr>
            <w:tcW w:type="dxa" w:w="1699"/>
            <w:tcMar>
              <w:top w:w="80" w:type="dxa"/>
              <w:start w:w="120" w:type="dxa"/>
              <w:bottom w:w="80" w:type="dxa"/>
              <w:end w:w="120" w:type="dxa"/>
            </w:tcMar>
          </w:tcPr>
          <w:p>
            <w:pPr>
              <w:spacing w:after="0" w:line="240" w:lineRule="auto"/>
            </w:pPr>
            <w:r>
              <w:rPr>
                <w:sz w:val="16"/>
              </w:rPr>
              <w:t>1.92</w:t>
            </w:r>
          </w:p>
        </w:tc>
        <w:tc>
          <w:tcPr>
            <w:tcW w:type="dxa" w:w="1699"/>
            <w:tcMar>
              <w:top w:w="80" w:type="dxa"/>
              <w:start w:w="120" w:type="dxa"/>
              <w:bottom w:w="80" w:type="dxa"/>
              <w:end w:w="120" w:type="dxa"/>
            </w:tcMar>
          </w:tcPr>
          <w:p>
            <w:pPr>
              <w:spacing w:after="0" w:line="240" w:lineRule="auto"/>
            </w:pPr>
            <w:r>
              <w:rPr>
                <w:sz w:val="16"/>
              </w:rPr>
              <w:t>1.88</w:t>
            </w:r>
          </w:p>
        </w:tc>
        <w:tc>
          <w:tcPr>
            <w:tcW w:type="dxa" w:w="1699"/>
            <w:tcMar>
              <w:top w:w="80" w:type="dxa"/>
              <w:start w:w="120" w:type="dxa"/>
              <w:bottom w:w="80" w:type="dxa"/>
              <w:end w:w="120" w:type="dxa"/>
            </w:tcMar>
          </w:tcPr>
          <w:p>
            <w:pPr>
              <w:spacing w:after="0" w:line="240" w:lineRule="auto"/>
            </w:pPr>
            <w:r>
              <w:rPr>
                <w:sz w:val="16"/>
              </w:rPr>
              <w:t>1.88</w:t>
            </w:r>
          </w:p>
        </w:tc>
      </w:tr>
      <w:tr>
        <w:trPr>
          <w:cantSplit/>
        </w:trPr>
        <w:tc>
          <w:tcPr>
            <w:tcW w:type="dxa" w:w="2664"/>
            <w:tcMar>
              <w:top w:w="80" w:type="dxa"/>
              <w:start w:w="120" w:type="dxa"/>
              <w:bottom w:w="80" w:type="dxa"/>
              <w:end w:w="120" w:type="dxa"/>
            </w:tcMar>
            <w:shd w:fill="F2F4F7"/>
          </w:tcPr>
          <w:p>
            <w:pPr>
              <w:spacing w:after="0" w:line="240" w:lineRule="auto"/>
            </w:pPr>
            <w:r>
              <w:rPr>
                <w:sz w:val="16"/>
              </w:rPr>
              <w:t>Bioanalyzer apparent size (bp)</w:t>
            </w:r>
          </w:p>
        </w:tc>
        <w:tc>
          <w:tcPr>
            <w:tcW w:type="dxa" w:w="1699"/>
            <w:tcMar>
              <w:top w:w="80" w:type="dxa"/>
              <w:start w:w="120" w:type="dxa"/>
              <w:bottom w:w="80" w:type="dxa"/>
              <w:end w:w="120" w:type="dxa"/>
            </w:tcMar>
            <w:shd w:fill="F2F4F7"/>
          </w:tcPr>
          <w:p>
            <w:pPr>
              <w:spacing w:after="0" w:line="240" w:lineRule="auto"/>
            </w:pPr>
            <w:r>
              <w:rPr>
                <w:sz w:val="16"/>
              </w:rPr>
              <w:t>129</w:t>
            </w:r>
          </w:p>
        </w:tc>
        <w:tc>
          <w:tcPr>
            <w:tcW w:type="dxa" w:w="1699"/>
            <w:tcMar>
              <w:top w:w="80" w:type="dxa"/>
              <w:start w:w="120" w:type="dxa"/>
              <w:bottom w:w="80" w:type="dxa"/>
              <w:end w:w="120" w:type="dxa"/>
            </w:tcMar>
            <w:shd w:fill="F2F4F7"/>
          </w:tcPr>
          <w:p>
            <w:pPr>
              <w:spacing w:after="0" w:line="240" w:lineRule="auto"/>
            </w:pPr>
            <w:r>
              <w:rPr>
                <w:sz w:val="16"/>
              </w:rPr>
              <w:t>129</w:t>
            </w:r>
          </w:p>
        </w:tc>
        <w:tc>
          <w:tcPr>
            <w:tcW w:type="dxa" w:w="1699"/>
            <w:tcMar>
              <w:top w:w="80" w:type="dxa"/>
              <w:start w:w="120" w:type="dxa"/>
              <w:bottom w:w="80" w:type="dxa"/>
              <w:end w:w="120" w:type="dxa"/>
            </w:tcMar>
            <w:shd w:fill="F2F4F7"/>
          </w:tcPr>
          <w:p>
            <w:pPr>
              <w:spacing w:after="0" w:line="240" w:lineRule="auto"/>
            </w:pPr>
            <w:r>
              <w:rPr>
                <w:sz w:val="16"/>
              </w:rPr>
              <w:t>173</w:t>
            </w:r>
          </w:p>
        </w:tc>
        <w:tc>
          <w:tcPr>
            <w:tcW w:type="dxa" w:w="1699"/>
            <w:tcMar>
              <w:top w:w="80" w:type="dxa"/>
              <w:start w:w="120" w:type="dxa"/>
              <w:bottom w:w="80" w:type="dxa"/>
              <w:end w:w="120" w:type="dxa"/>
            </w:tcMar>
            <w:shd w:fill="F2F4F7"/>
          </w:tcPr>
          <w:p>
            <w:pPr>
              <w:spacing w:after="0" w:line="240" w:lineRule="auto"/>
            </w:pPr>
            <w:r>
              <w:rPr>
                <w:sz w:val="16"/>
              </w:rPr>
              <w:t>173</w:t>
            </w:r>
          </w:p>
        </w:tc>
      </w:tr>
      <w:tr>
        <w:trPr>
          <w:cantSplit/>
        </w:trPr>
        <w:tc>
          <w:tcPr>
            <w:tcW w:type="dxa" w:w="2664"/>
            <w:tcMar>
              <w:top w:w="80" w:type="dxa"/>
              <w:start w:w="120" w:type="dxa"/>
              <w:bottom w:w="80" w:type="dxa"/>
              <w:end w:w="120" w:type="dxa"/>
            </w:tcMar>
          </w:tcPr>
          <w:p>
            <w:pPr>
              <w:spacing w:after="0" w:line="240" w:lineRule="auto"/>
            </w:pPr>
            <w:r>
              <w:rPr>
                <w:sz w:val="16"/>
              </w:rPr>
              <w:t>Bioanalyzer concentration (ng/µL)</w:t>
            </w:r>
          </w:p>
        </w:tc>
        <w:tc>
          <w:tcPr>
            <w:tcW w:type="dxa" w:w="1699"/>
            <w:tcMar>
              <w:top w:w="80" w:type="dxa"/>
              <w:start w:w="120" w:type="dxa"/>
              <w:bottom w:w="80" w:type="dxa"/>
              <w:end w:w="120" w:type="dxa"/>
            </w:tcMar>
          </w:tcPr>
          <w:p>
            <w:pPr>
              <w:spacing w:after="0" w:line="240" w:lineRule="auto"/>
            </w:pPr>
            <w:r>
              <w:rPr>
                <w:sz w:val="16"/>
              </w:rPr>
              <w:t>1.15</w:t>
            </w:r>
          </w:p>
        </w:tc>
        <w:tc>
          <w:tcPr>
            <w:tcW w:type="dxa" w:w="1699"/>
            <w:tcMar>
              <w:top w:w="80" w:type="dxa"/>
              <w:start w:w="120" w:type="dxa"/>
              <w:bottom w:w="80" w:type="dxa"/>
              <w:end w:w="120" w:type="dxa"/>
            </w:tcMar>
          </w:tcPr>
          <w:p>
            <w:pPr>
              <w:spacing w:after="0" w:line="240" w:lineRule="auto"/>
            </w:pPr>
            <w:r>
              <w:rPr>
                <w:sz w:val="16"/>
              </w:rPr>
              <w:t>1.15</w:t>
            </w:r>
          </w:p>
        </w:tc>
        <w:tc>
          <w:tcPr>
            <w:tcW w:type="dxa" w:w="1699"/>
            <w:tcMar>
              <w:top w:w="80" w:type="dxa"/>
              <w:start w:w="120" w:type="dxa"/>
              <w:bottom w:w="80" w:type="dxa"/>
              <w:end w:w="120" w:type="dxa"/>
            </w:tcMar>
          </w:tcPr>
          <w:p>
            <w:pPr>
              <w:spacing w:after="0" w:line="240" w:lineRule="auto"/>
            </w:pPr>
            <w:r>
              <w:rPr>
                <w:sz w:val="16"/>
              </w:rPr>
              <w:t>3.39</w:t>
            </w:r>
          </w:p>
        </w:tc>
        <w:tc>
          <w:tcPr>
            <w:tcW w:type="dxa" w:w="1699"/>
            <w:tcMar>
              <w:top w:w="80" w:type="dxa"/>
              <w:start w:w="120" w:type="dxa"/>
              <w:bottom w:w="80" w:type="dxa"/>
              <w:end w:w="120" w:type="dxa"/>
            </w:tcMar>
          </w:tcPr>
          <w:p>
            <w:pPr>
              <w:spacing w:after="0" w:line="240" w:lineRule="auto"/>
            </w:pPr>
            <w:r>
              <w:rPr>
                <w:sz w:val="16"/>
              </w:rPr>
              <w:t>3.39</w:t>
            </w:r>
          </w:p>
        </w:tc>
      </w:tr>
    </w:tbl>
    <w:p>
      <w:pPr>
        <w:spacing w:after="20"/>
      </w:pPr>
    </w:p>
    <w:p>
      <w:r>
        <w:t>Caution: UV absorbance, gel mobility and Bioanalyzer sizing assess concentration, purity and approximate fragment size. They do not establish base identity. The different concentration values from ScanDrop and Bioanalyzer reflect method and dilution context and should not be combined without the original dilution records.</w:t>
      </w:r>
    </w:p>
    <w:p>
      <w:pPr>
        <w:keepNext/>
        <w:spacing w:before="80" w:after="40"/>
        <w:jc w:val="center"/>
      </w:pPr>
      <w:r>
        <w:drawing>
          <wp:inline xmlns:a="http://schemas.openxmlformats.org/drawingml/2006/main" xmlns:pic="http://schemas.openxmlformats.org/drawingml/2006/picture">
            <wp:extent cx="5833872" cy="1859280"/>
            <wp:docPr id="1" name="Picture 1" title="Figure_S2_WetLab_Oligonucleotide_QC" descr="Primary wet-laboratory quality-control evidence. Agarose electrophoresis of the synthesized strands and hybridized duplexes, and Bioanalyzer electropherograms, are reproduced from the source experimental record. These assays support presence and approximate size, not nucleotide identity."/>
            <wp:cNvGraphicFramePr>
              <a:graphicFrameLocks noChangeAspect="1"/>
            </wp:cNvGraphicFramePr>
            <a:graphic>
              <a:graphicData uri="http://schemas.openxmlformats.org/drawingml/2006/picture">
                <pic:pic>
                  <pic:nvPicPr>
                    <pic:cNvPr id="0" name="Figure_S2_WetLab_Oligonucleotide_QC.png"/>
                    <pic:cNvPicPr/>
                  </pic:nvPicPr>
                  <pic:blipFill>
                    <a:blip r:embed="rId11"/>
                    <a:stretch>
                      <a:fillRect/>
                    </a:stretch>
                  </pic:blipFill>
                  <pic:spPr>
                    <a:xfrm>
                      <a:off x="0" y="0"/>
                      <a:ext cx="5833872" cy="1859280"/>
                    </a:xfrm>
                    <a:prstGeom prst="rect"/>
                  </pic:spPr>
                </pic:pic>
              </a:graphicData>
            </a:graphic>
          </wp:inline>
        </w:drawing>
      </w:r>
    </w:p>
    <w:p>
      <w:pPr>
        <w:pStyle w:val="Caption"/>
      </w:pPr>
      <w:r>
        <w:t>Figure S2. Primary wet-laboratory quality-control evidence. Agarose electrophoresis of the synthesized strands and hybridized duplexes, and Bioanalyzer electropherograms, are reproduced from the source experimental record. These assays support presence and approximate size, not nucleotide identity.</w:t>
      </w:r>
    </w:p>
    <w:p>
      <w:pPr>
        <w:pStyle w:val="Caption"/>
        <w:spacing w:before="0" w:after="160"/>
      </w:pPr>
      <w:r>
        <w:rPr>
          <w:i/>
          <w:color w:val="5D6B78"/>
        </w:rPr>
        <w:t>Alt text: Primary wet-laboratory quality-control evidence. Agarose electrophoresis of the synthesized strands and hybridized duplexes, and Bioanalyzer electropherograms, are reproduced from the source experimental record. These assays support presence and approximate size, not nucleotide identity.</w:t>
      </w:r>
    </w:p>
    <w:p>
      <w:pPr>
        <w:pStyle w:val="Heading1"/>
      </w:pPr>
      <w:r>
        <w:t>S5. Complete MerMade 4 synthesis program</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1608"/>
        <w:gridCol w:w="1608"/>
        <w:gridCol w:w="1608"/>
        <w:gridCol w:w="1608"/>
        <w:gridCol w:w="1608"/>
        <w:gridCol w:w="1608"/>
      </w:tblGrid>
      <w:tr>
        <w:trPr>
          <w:tblHeader w:val="true"/>
        </w:trPr>
        <w:tc>
          <w:tcPr>
            <w:tcW w:type="dxa" w:w="1469"/>
            <w:tcMar>
              <w:top w:w="80" w:type="dxa"/>
              <w:start w:w="120" w:type="dxa"/>
              <w:bottom w:w="80" w:type="dxa"/>
              <w:end w:w="120" w:type="dxa"/>
            </w:tcMar>
            <w:shd w:fill="12233F"/>
            <w:vAlign w:val="center"/>
          </w:tcPr>
          <w:p>
            <w:pPr>
              <w:spacing w:after="0"/>
            </w:pPr>
            <w:r>
              <w:rPr>
                <w:b/>
                <w:color w:val="FFFFFF"/>
                <w:sz w:val="13"/>
              </w:rPr>
              <w:t>Script detail</w:t>
            </w:r>
          </w:p>
        </w:tc>
        <w:tc>
          <w:tcPr>
            <w:tcW w:type="dxa" w:w="3773"/>
            <w:tcMar>
              <w:top w:w="80" w:type="dxa"/>
              <w:start w:w="120" w:type="dxa"/>
              <w:bottom w:w="80" w:type="dxa"/>
              <w:end w:w="120" w:type="dxa"/>
            </w:tcMar>
            <w:shd w:fill="12233F"/>
            <w:vAlign w:val="center"/>
          </w:tcPr>
          <w:p>
            <w:pPr>
              <w:spacing w:after="0"/>
            </w:pPr>
            <w:r>
              <w:rPr>
                <w:b/>
                <w:color w:val="FFFFFF"/>
                <w:sz w:val="13"/>
              </w:rPr>
              <w:t>Reagent / manufacturer</w:t>
            </w:r>
          </w:p>
        </w:tc>
        <w:tc>
          <w:tcPr>
            <w:tcW w:type="dxa" w:w="1037"/>
            <w:tcMar>
              <w:top w:w="80" w:type="dxa"/>
              <w:start w:w="120" w:type="dxa"/>
              <w:bottom w:w="80" w:type="dxa"/>
              <w:end w:w="120" w:type="dxa"/>
            </w:tcMar>
            <w:shd w:fill="12233F"/>
            <w:vAlign w:val="center"/>
          </w:tcPr>
          <w:p>
            <w:pPr>
              <w:spacing w:after="0"/>
            </w:pPr>
            <w:r>
              <w:rPr>
                <w:b/>
                <w:color w:val="FFFFFF"/>
                <w:sz w:val="13"/>
              </w:rPr>
              <w:t>No./V primes</w:t>
            </w:r>
          </w:p>
        </w:tc>
        <w:tc>
          <w:tcPr>
            <w:tcW w:type="dxa" w:w="1037"/>
            <w:tcMar>
              <w:top w:w="80" w:type="dxa"/>
              <w:start w:w="120" w:type="dxa"/>
              <w:bottom w:w="80" w:type="dxa"/>
              <w:end w:w="120" w:type="dxa"/>
            </w:tcMar>
            <w:shd w:fill="12233F"/>
            <w:vAlign w:val="center"/>
          </w:tcPr>
          <w:p>
            <w:pPr>
              <w:spacing w:after="0"/>
            </w:pPr>
            <w:r>
              <w:rPr>
                <w:b/>
                <w:color w:val="FFFFFF"/>
                <w:sz w:val="13"/>
              </w:rPr>
              <w:t>Injection</w:t>
            </w:r>
          </w:p>
        </w:tc>
        <w:tc>
          <w:tcPr>
            <w:tcW w:type="dxa" w:w="1037"/>
            <w:tcMar>
              <w:top w:w="80" w:type="dxa"/>
              <w:start w:w="120" w:type="dxa"/>
              <w:bottom w:w="80" w:type="dxa"/>
              <w:end w:w="120" w:type="dxa"/>
            </w:tcMar>
            <w:shd w:fill="12233F"/>
            <w:vAlign w:val="center"/>
          </w:tcPr>
          <w:p>
            <w:pPr>
              <w:spacing w:after="0"/>
            </w:pPr>
            <w:r>
              <w:rPr>
                <w:b/>
                <w:color w:val="FFFFFF"/>
                <w:sz w:val="13"/>
              </w:rPr>
              <w:t>Reaction</w:t>
            </w:r>
          </w:p>
        </w:tc>
        <w:tc>
          <w:tcPr>
            <w:tcW w:type="dxa" w:w="1152"/>
            <w:tcMar>
              <w:top w:w="80" w:type="dxa"/>
              <w:start w:w="120" w:type="dxa"/>
              <w:bottom w:w="80" w:type="dxa"/>
              <w:end w:w="120" w:type="dxa"/>
            </w:tcMar>
            <w:shd w:fill="12233F"/>
            <w:vAlign w:val="center"/>
          </w:tcPr>
          <w:p>
            <w:pPr>
              <w:spacing w:after="0"/>
            </w:pPr>
            <w:r>
              <w:rPr>
                <w:b/>
                <w:color w:val="FFFFFF"/>
                <w:sz w:val="13"/>
              </w:rPr>
              <w:t>Equalize</w:t>
            </w:r>
          </w:p>
        </w:tc>
      </w:tr>
      <w:tr>
        <w:trPr>
          <w:cantSplit/>
        </w:trPr>
        <w:tc>
          <w:tcPr>
            <w:tcW w:type="dxa" w:w="1469"/>
            <w:tcMar>
              <w:top w:w="80" w:type="dxa"/>
              <w:start w:w="120" w:type="dxa"/>
              <w:bottom w:w="80" w:type="dxa"/>
              <w:end w:w="120" w:type="dxa"/>
            </w:tcMar>
          </w:tcPr>
          <w:p>
            <w:pPr>
              <w:spacing w:after="0" w:line="240" w:lineRule="auto"/>
            </w:pPr>
            <w:r>
              <w:rPr>
                <w:sz w:val="13"/>
              </w:rPr>
              <w:t>INITIALIZATION</w:t>
            </w:r>
          </w:p>
        </w:tc>
        <w:tc>
          <w:tcPr>
            <w:tcW w:type="dxa" w:w="3773"/>
            <w:tcMar>
              <w:top w:w="80" w:type="dxa"/>
              <w:start w:w="120" w:type="dxa"/>
              <w:bottom w:w="80" w:type="dxa"/>
              <w:end w:w="120" w:type="dxa"/>
            </w:tcMar>
          </w:tcPr>
          <w:p>
            <w:pPr>
              <w:spacing w:after="0" w:line="240" w:lineRule="auto"/>
            </w:pPr>
            <w:r>
              <w:rPr>
                <w:sz w:val="13"/>
              </w:rPr>
              <w:t>INITIALIZATION</w:t>
            </w:r>
          </w:p>
        </w:tc>
        <w:tc>
          <w:tcPr>
            <w:tcW w:type="dxa" w:w="1037"/>
            <w:tcMar>
              <w:top w:w="80" w:type="dxa"/>
              <w:start w:w="120" w:type="dxa"/>
              <w:bottom w:w="80" w:type="dxa"/>
              <w:end w:w="120" w:type="dxa"/>
            </w:tcMar>
          </w:tcPr>
          <w:p>
            <w:pPr>
              <w:spacing w:after="0" w:line="240" w:lineRule="auto"/>
            </w:pPr>
            <w:r>
              <w:rPr>
                <w:sz w:val="13"/>
              </w:rPr>
              <w:t>INITIALIZATION</w:t>
            </w:r>
          </w:p>
        </w:tc>
        <w:tc>
          <w:tcPr>
            <w:tcW w:type="dxa" w:w="1037"/>
            <w:tcMar>
              <w:top w:w="80" w:type="dxa"/>
              <w:start w:w="120" w:type="dxa"/>
              <w:bottom w:w="80" w:type="dxa"/>
              <w:end w:w="120" w:type="dxa"/>
            </w:tcMar>
          </w:tcPr>
          <w:p>
            <w:pPr>
              <w:spacing w:after="0" w:line="240" w:lineRule="auto"/>
            </w:pPr>
            <w:r>
              <w:rPr>
                <w:sz w:val="13"/>
              </w:rPr>
              <w:t>INITIALIZATION</w:t>
            </w:r>
          </w:p>
        </w:tc>
        <w:tc>
          <w:tcPr>
            <w:tcW w:type="dxa" w:w="1037"/>
            <w:tcMar>
              <w:top w:w="80" w:type="dxa"/>
              <w:start w:w="120" w:type="dxa"/>
              <w:bottom w:w="80" w:type="dxa"/>
              <w:end w:w="120" w:type="dxa"/>
            </w:tcMar>
          </w:tcPr>
          <w:p>
            <w:pPr>
              <w:spacing w:after="0" w:line="240" w:lineRule="auto"/>
            </w:pPr>
            <w:r>
              <w:rPr>
                <w:sz w:val="13"/>
              </w:rPr>
              <w:t>INITIALIZATION</w:t>
            </w:r>
          </w:p>
        </w:tc>
        <w:tc>
          <w:tcPr>
            <w:tcW w:type="dxa" w:w="1152"/>
            <w:tcMar>
              <w:top w:w="80" w:type="dxa"/>
              <w:start w:w="120" w:type="dxa"/>
              <w:bottom w:w="80" w:type="dxa"/>
              <w:end w:w="120" w:type="dxa"/>
            </w:tcMar>
          </w:tcPr>
          <w:p>
            <w:pPr>
              <w:spacing w:after="0" w:line="240" w:lineRule="auto"/>
            </w:pPr>
            <w:r>
              <w:rPr>
                <w:sz w:val="13"/>
              </w:rPr>
              <w:t>INITIALIZATION</w:t>
            </w:r>
          </w:p>
        </w:tc>
      </w:tr>
      <w:tr>
        <w:trPr>
          <w:cantSplit/>
        </w:trPr>
        <w:tc>
          <w:tcPr>
            <w:tcW w:type="dxa" w:w="1469"/>
            <w:tcMar>
              <w:top w:w="80" w:type="dxa"/>
              <w:start w:w="120" w:type="dxa"/>
              <w:bottom w:w="80" w:type="dxa"/>
              <w:end w:w="120" w:type="dxa"/>
            </w:tcMar>
            <w:shd w:fill="F2F4F7"/>
          </w:tcPr>
          <w:p>
            <w:pPr>
              <w:spacing w:after="0" w:line="240" w:lineRule="auto"/>
            </w:pPr>
            <w:r>
              <w:rPr>
                <w:sz w:val="13"/>
              </w:rPr>
              <w:t>3 × Washing</w:t>
            </w:r>
          </w:p>
        </w:tc>
        <w:tc>
          <w:tcPr>
            <w:tcW w:type="dxa" w:w="3773"/>
            <w:tcMar>
              <w:top w:w="80" w:type="dxa"/>
              <w:start w:w="120" w:type="dxa"/>
              <w:bottom w:w="80" w:type="dxa"/>
              <w:end w:w="120" w:type="dxa"/>
            </w:tcMar>
            <w:shd w:fill="F2F4F7"/>
          </w:tcPr>
          <w:p>
            <w:pPr>
              <w:spacing w:after="0" w:line="240" w:lineRule="auto"/>
            </w:pPr>
            <w:r>
              <w:rPr>
                <w:sz w:val="13"/>
              </w:rPr>
              <w:t>Anhydrous Acetonitrile,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180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00:00:12</w:t>
            </w:r>
          </w:p>
        </w:tc>
      </w:tr>
      <w:tr>
        <w:trPr>
          <w:cantSplit/>
        </w:trPr>
        <w:tc>
          <w:tcPr>
            <w:tcW w:type="dxa" w:w="1469"/>
            <w:tcMar>
              <w:top w:w="80" w:type="dxa"/>
              <w:start w:w="120" w:type="dxa"/>
              <w:bottom w:w="80" w:type="dxa"/>
              <w:end w:w="120" w:type="dxa"/>
            </w:tcMar>
          </w:tcPr>
          <w:p>
            <w:pPr>
              <w:spacing w:after="0" w:line="240" w:lineRule="auto"/>
            </w:pPr>
            <w:r>
              <w:rPr>
                <w:sz w:val="13"/>
              </w:rPr>
              <w:t>RUN STEPS</w:t>
            </w:r>
          </w:p>
        </w:tc>
        <w:tc>
          <w:tcPr>
            <w:tcW w:type="dxa" w:w="3773"/>
            <w:tcMar>
              <w:top w:w="80" w:type="dxa"/>
              <w:start w:w="120" w:type="dxa"/>
              <w:bottom w:w="80" w:type="dxa"/>
              <w:end w:w="120" w:type="dxa"/>
            </w:tcMar>
          </w:tcPr>
          <w:p>
            <w:pPr>
              <w:spacing w:after="0" w:line="240" w:lineRule="auto"/>
            </w:pPr>
            <w:r>
              <w:rPr>
                <w:sz w:val="13"/>
              </w:rPr>
              <w:t>RUN STEPS</w:t>
            </w:r>
          </w:p>
        </w:tc>
        <w:tc>
          <w:tcPr>
            <w:tcW w:type="dxa" w:w="1037"/>
            <w:tcMar>
              <w:top w:w="80" w:type="dxa"/>
              <w:start w:w="120" w:type="dxa"/>
              <w:bottom w:w="80" w:type="dxa"/>
              <w:end w:w="120" w:type="dxa"/>
            </w:tcMar>
          </w:tcPr>
          <w:p>
            <w:pPr>
              <w:spacing w:after="0" w:line="240" w:lineRule="auto"/>
            </w:pPr>
            <w:r>
              <w:rPr>
                <w:sz w:val="13"/>
              </w:rPr>
              <w:t>RUN STEPS</w:t>
            </w:r>
          </w:p>
        </w:tc>
        <w:tc>
          <w:tcPr>
            <w:tcW w:type="dxa" w:w="1037"/>
            <w:tcMar>
              <w:top w:w="80" w:type="dxa"/>
              <w:start w:w="120" w:type="dxa"/>
              <w:bottom w:w="80" w:type="dxa"/>
              <w:end w:w="120" w:type="dxa"/>
            </w:tcMar>
          </w:tcPr>
          <w:p>
            <w:pPr>
              <w:spacing w:after="0" w:line="240" w:lineRule="auto"/>
            </w:pPr>
            <w:r>
              <w:rPr>
                <w:sz w:val="13"/>
              </w:rPr>
              <w:t>RUN STEPS</w:t>
            </w:r>
          </w:p>
        </w:tc>
        <w:tc>
          <w:tcPr>
            <w:tcW w:type="dxa" w:w="1037"/>
            <w:tcMar>
              <w:top w:w="80" w:type="dxa"/>
              <w:start w:w="120" w:type="dxa"/>
              <w:bottom w:w="80" w:type="dxa"/>
              <w:end w:w="120" w:type="dxa"/>
            </w:tcMar>
          </w:tcPr>
          <w:p>
            <w:pPr>
              <w:spacing w:after="0" w:line="240" w:lineRule="auto"/>
            </w:pPr>
            <w:r>
              <w:rPr>
                <w:sz w:val="13"/>
              </w:rPr>
              <w:t>RUN STEPS</w:t>
            </w:r>
          </w:p>
        </w:tc>
        <w:tc>
          <w:tcPr>
            <w:tcW w:type="dxa" w:w="1152"/>
            <w:tcMar>
              <w:top w:w="80" w:type="dxa"/>
              <w:start w:w="120" w:type="dxa"/>
              <w:bottom w:w="80" w:type="dxa"/>
              <w:end w:w="120" w:type="dxa"/>
            </w:tcMar>
          </w:tcPr>
          <w:p>
            <w:pPr>
              <w:spacing w:after="0" w:line="240" w:lineRule="auto"/>
            </w:pPr>
            <w:r>
              <w:rPr>
                <w:sz w:val="13"/>
              </w:rPr>
              <w:t>RUN STEPS</w:t>
            </w:r>
          </w:p>
        </w:tc>
      </w:tr>
      <w:tr>
        <w:trPr>
          <w:cantSplit/>
        </w:trPr>
        <w:tc>
          <w:tcPr>
            <w:tcW w:type="dxa" w:w="1469"/>
            <w:tcMar>
              <w:top w:w="80" w:type="dxa"/>
              <w:start w:w="120" w:type="dxa"/>
              <w:bottom w:w="80" w:type="dxa"/>
              <w:end w:w="120" w:type="dxa"/>
            </w:tcMar>
            <w:shd w:fill="F2F4F7"/>
          </w:tcPr>
          <w:p>
            <w:pPr>
              <w:spacing w:after="0" w:line="240" w:lineRule="auto"/>
            </w:pPr>
            <w:r>
              <w:rPr>
                <w:sz w:val="13"/>
              </w:rPr>
              <w:t>Deblocking 1</w:t>
            </w:r>
          </w:p>
        </w:tc>
        <w:tc>
          <w:tcPr>
            <w:tcW w:type="dxa" w:w="3773"/>
            <w:tcMar>
              <w:top w:w="80" w:type="dxa"/>
              <w:start w:w="120" w:type="dxa"/>
              <w:bottom w:w="80" w:type="dxa"/>
              <w:end w:w="120" w:type="dxa"/>
            </w:tcMar>
            <w:shd w:fill="F2F4F7"/>
          </w:tcPr>
          <w:p>
            <w:pPr>
              <w:spacing w:after="0" w:line="240" w:lineRule="auto"/>
            </w:pPr>
            <w:r>
              <w:rPr>
                <w:sz w:val="13"/>
              </w:rPr>
              <w:t>3% Trichloroacetic Acid (TCA) in dichloromethane,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130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00:00:59</w:t>
            </w:r>
          </w:p>
        </w:tc>
      </w:tr>
      <w:tr>
        <w:trPr>
          <w:cantSplit/>
        </w:trPr>
        <w:tc>
          <w:tcPr>
            <w:tcW w:type="dxa" w:w="1469"/>
            <w:tcMar>
              <w:top w:w="80" w:type="dxa"/>
              <w:start w:w="120" w:type="dxa"/>
              <w:bottom w:w="80" w:type="dxa"/>
              <w:end w:w="120" w:type="dxa"/>
            </w:tcMar>
          </w:tcPr>
          <w:p>
            <w:pPr>
              <w:spacing w:after="0" w:line="240" w:lineRule="auto"/>
            </w:pPr>
            <w:r>
              <w:rPr>
                <w:sz w:val="13"/>
              </w:rPr>
              <w:t>Deblocking 2</w:t>
            </w:r>
          </w:p>
        </w:tc>
        <w:tc>
          <w:tcPr>
            <w:tcW w:type="dxa" w:w="3773"/>
            <w:tcMar>
              <w:top w:w="80" w:type="dxa"/>
              <w:start w:w="120" w:type="dxa"/>
              <w:bottom w:w="80" w:type="dxa"/>
              <w:end w:w="120" w:type="dxa"/>
            </w:tcMar>
          </w:tcPr>
          <w:p>
            <w:pPr>
              <w:spacing w:after="0" w:line="240" w:lineRule="auto"/>
            </w:pPr>
            <w:r>
              <w:rPr>
                <w:sz w:val="13"/>
              </w:rPr>
              <w:t>3% Trichloroacetic Acid (TCA) in dichloromethane, (emp BIOTECH, Berlin, Germany)</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100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00:00:45</w:t>
            </w:r>
          </w:p>
        </w:tc>
      </w:tr>
      <w:tr>
        <w:trPr>
          <w:cantSplit/>
        </w:trPr>
        <w:tc>
          <w:tcPr>
            <w:tcW w:type="dxa" w:w="1469"/>
            <w:tcMar>
              <w:top w:w="80" w:type="dxa"/>
              <w:start w:w="120" w:type="dxa"/>
              <w:bottom w:w="80" w:type="dxa"/>
              <w:end w:w="120" w:type="dxa"/>
            </w:tcMar>
            <w:shd w:fill="F2F4F7"/>
          </w:tcPr>
          <w:p>
            <w:pPr>
              <w:spacing w:after="0" w:line="240" w:lineRule="auto"/>
            </w:pPr>
            <w:r>
              <w:rPr>
                <w:sz w:val="13"/>
              </w:rPr>
              <w:t>2 × Washing</w:t>
            </w:r>
          </w:p>
        </w:tc>
        <w:tc>
          <w:tcPr>
            <w:tcW w:type="dxa" w:w="3773"/>
            <w:tcMar>
              <w:top w:w="80" w:type="dxa"/>
              <w:start w:w="120" w:type="dxa"/>
              <w:bottom w:w="80" w:type="dxa"/>
              <w:end w:w="120" w:type="dxa"/>
            </w:tcMar>
            <w:shd w:fill="F2F4F7"/>
          </w:tcPr>
          <w:p>
            <w:pPr>
              <w:spacing w:after="0" w:line="240" w:lineRule="auto"/>
            </w:pPr>
            <w:r>
              <w:rPr>
                <w:sz w:val="13"/>
              </w:rPr>
              <w:t>Anhydrous Acetonitrile, emp BIOTECH</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180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00:00:12</w:t>
            </w:r>
          </w:p>
        </w:tc>
      </w:tr>
      <w:tr>
        <w:trPr>
          <w:cantSplit/>
        </w:trPr>
        <w:tc>
          <w:tcPr>
            <w:tcW w:type="dxa" w:w="1469"/>
            <w:tcMar>
              <w:top w:w="80" w:type="dxa"/>
              <w:start w:w="120" w:type="dxa"/>
              <w:bottom w:w="80" w:type="dxa"/>
              <w:end w:w="120" w:type="dxa"/>
            </w:tcMar>
          </w:tcPr>
          <w:p>
            <w:pPr>
              <w:spacing w:after="0" w:line="240" w:lineRule="auto"/>
            </w:pPr>
            <w:r>
              <w:rPr>
                <w:sz w:val="13"/>
              </w:rPr>
              <w:t>Coupling 1 (2 subinjections)</w:t>
            </w:r>
          </w:p>
        </w:tc>
        <w:tc>
          <w:tcPr>
            <w:tcW w:type="dxa" w:w="3773"/>
            <w:tcMar>
              <w:top w:w="80" w:type="dxa"/>
              <w:start w:w="120" w:type="dxa"/>
              <w:bottom w:w="80" w:type="dxa"/>
              <w:end w:w="120" w:type="dxa"/>
            </w:tcMar>
          </w:tcPr>
          <w:p>
            <w:pPr>
              <w:spacing w:after="0" w:line="240" w:lineRule="auto"/>
            </w:pPr>
            <w:r>
              <w:rPr>
                <w:sz w:val="13"/>
              </w:rPr>
              <w:t>Activator reagent, (emp BIOTECH, Berlin, Germany)</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70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00:01:20</w:t>
            </w:r>
          </w:p>
        </w:tc>
      </w:tr>
      <w:tr>
        <w:trPr>
          <w:cantSplit/>
        </w:trPr>
        <w:tc>
          <w:tcPr>
            <w:tcW w:type="dxa" w:w="1469"/>
            <w:tcMar>
              <w:top w:w="80" w:type="dxa"/>
              <w:start w:w="120" w:type="dxa"/>
              <w:bottom w:w="80" w:type="dxa"/>
              <w:end w:w="120" w:type="dxa"/>
            </w:tcMar>
            <w:shd w:fill="F2F4F7"/>
          </w:tcPr>
          <w:p>
            <w:pPr>
              <w:spacing w:after="0" w:line="240" w:lineRule="auto"/>
            </w:pPr>
            <w:r>
              <w:rPr>
                <w:sz w:val="13"/>
              </w:rPr>
              <w:t>Coupling 1 (2 subinjections)</w:t>
            </w:r>
          </w:p>
        </w:tc>
        <w:tc>
          <w:tcPr>
            <w:tcW w:type="dxa" w:w="3773"/>
            <w:tcMar>
              <w:top w:w="80" w:type="dxa"/>
              <w:start w:w="120" w:type="dxa"/>
              <w:bottom w:w="80" w:type="dxa"/>
              <w:end w:w="120" w:type="dxa"/>
            </w:tcMar>
            <w:shd w:fill="F2F4F7"/>
          </w:tcPr>
          <w:p>
            <w:pPr>
              <w:spacing w:after="0" w:line="240" w:lineRule="auto"/>
            </w:pPr>
            <w:r>
              <w:rPr>
                <w:sz w:val="13"/>
              </w:rPr>
              <w:t>DNA Amidites (A, C, G, T), (Biosearch Technologies, Petaluma, CA, USA)</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50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00:01:20</w:t>
            </w:r>
          </w:p>
        </w:tc>
      </w:tr>
      <w:tr>
        <w:trPr>
          <w:cantSplit/>
        </w:trPr>
        <w:tc>
          <w:tcPr>
            <w:tcW w:type="dxa" w:w="1469"/>
            <w:tcMar>
              <w:top w:w="80" w:type="dxa"/>
              <w:start w:w="120" w:type="dxa"/>
              <w:bottom w:w="80" w:type="dxa"/>
              <w:end w:w="120" w:type="dxa"/>
            </w:tcMar>
          </w:tcPr>
          <w:p>
            <w:pPr>
              <w:spacing w:after="0" w:line="240" w:lineRule="auto"/>
            </w:pPr>
            <w:r>
              <w:rPr>
                <w:sz w:val="13"/>
              </w:rPr>
              <w:t>Coupling 2 (2 subinjections)</w:t>
            </w:r>
          </w:p>
        </w:tc>
        <w:tc>
          <w:tcPr>
            <w:tcW w:type="dxa" w:w="3773"/>
            <w:tcMar>
              <w:top w:w="80" w:type="dxa"/>
              <w:start w:w="120" w:type="dxa"/>
              <w:bottom w:w="80" w:type="dxa"/>
              <w:end w:w="120" w:type="dxa"/>
            </w:tcMar>
          </w:tcPr>
          <w:p>
            <w:pPr>
              <w:spacing w:after="0" w:line="240" w:lineRule="auto"/>
            </w:pPr>
            <w:r>
              <w:rPr>
                <w:sz w:val="13"/>
              </w:rPr>
              <w:t>Activator reagent, emp BIOTECH</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50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00:00:40</w:t>
            </w:r>
          </w:p>
        </w:tc>
      </w:tr>
      <w:tr>
        <w:trPr>
          <w:cantSplit/>
        </w:trPr>
        <w:tc>
          <w:tcPr>
            <w:tcW w:type="dxa" w:w="1469"/>
            <w:tcMar>
              <w:top w:w="80" w:type="dxa"/>
              <w:start w:w="120" w:type="dxa"/>
              <w:bottom w:w="80" w:type="dxa"/>
              <w:end w:w="120" w:type="dxa"/>
            </w:tcMar>
            <w:shd w:fill="F2F4F7"/>
          </w:tcPr>
          <w:p>
            <w:pPr>
              <w:spacing w:after="0" w:line="240" w:lineRule="auto"/>
            </w:pPr>
            <w:r>
              <w:rPr>
                <w:sz w:val="13"/>
              </w:rPr>
              <w:t>Coupling 2 (2 subinjections)</w:t>
            </w:r>
          </w:p>
        </w:tc>
        <w:tc>
          <w:tcPr>
            <w:tcW w:type="dxa" w:w="3773"/>
            <w:tcMar>
              <w:top w:w="80" w:type="dxa"/>
              <w:start w:w="120" w:type="dxa"/>
              <w:bottom w:w="80" w:type="dxa"/>
              <w:end w:w="120" w:type="dxa"/>
            </w:tcMar>
            <w:shd w:fill="F2F4F7"/>
          </w:tcPr>
          <w:p>
            <w:pPr>
              <w:spacing w:after="0" w:line="240" w:lineRule="auto"/>
            </w:pPr>
            <w:r>
              <w:rPr>
                <w:sz w:val="13"/>
              </w:rPr>
              <w:t>DNA Amidites (A, C, G, T), (Biosearch Technologies, Petaluma, CA, USA)</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30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00:00:40</w:t>
            </w:r>
          </w:p>
        </w:tc>
      </w:tr>
      <w:tr>
        <w:trPr>
          <w:cantSplit/>
        </w:trPr>
        <w:tc>
          <w:tcPr>
            <w:tcW w:type="dxa" w:w="1469"/>
            <w:tcMar>
              <w:top w:w="80" w:type="dxa"/>
              <w:start w:w="120" w:type="dxa"/>
              <w:bottom w:w="80" w:type="dxa"/>
              <w:end w:w="120" w:type="dxa"/>
            </w:tcMar>
          </w:tcPr>
          <w:p>
            <w:pPr>
              <w:spacing w:after="0" w:line="240" w:lineRule="auto"/>
            </w:pPr>
            <w:r>
              <w:rPr>
                <w:sz w:val="13"/>
              </w:rPr>
              <w:t>Washing</w:t>
            </w:r>
          </w:p>
        </w:tc>
        <w:tc>
          <w:tcPr>
            <w:tcW w:type="dxa" w:w="3773"/>
            <w:tcMar>
              <w:top w:w="80" w:type="dxa"/>
              <w:start w:w="120" w:type="dxa"/>
              <w:bottom w:w="80" w:type="dxa"/>
              <w:end w:w="120" w:type="dxa"/>
            </w:tcMar>
          </w:tcPr>
          <w:p>
            <w:pPr>
              <w:spacing w:after="0" w:line="240" w:lineRule="auto"/>
            </w:pPr>
            <w:r>
              <w:rPr>
                <w:sz w:val="13"/>
              </w:rPr>
              <w:t>Anhydrous Acetonitrile, (emp BIOTECH, Berlin, Germany)</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180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00:00:12</w:t>
            </w:r>
          </w:p>
        </w:tc>
      </w:tr>
      <w:tr>
        <w:trPr>
          <w:cantSplit/>
        </w:trPr>
        <w:tc>
          <w:tcPr>
            <w:tcW w:type="dxa" w:w="1469"/>
            <w:tcMar>
              <w:top w:w="80" w:type="dxa"/>
              <w:start w:w="120" w:type="dxa"/>
              <w:bottom w:w="80" w:type="dxa"/>
              <w:end w:w="120" w:type="dxa"/>
            </w:tcMar>
            <w:shd w:fill="F2F4F7"/>
          </w:tcPr>
          <w:p>
            <w:pPr>
              <w:spacing w:after="0" w:line="240" w:lineRule="auto"/>
            </w:pPr>
            <w:r>
              <w:rPr>
                <w:sz w:val="13"/>
              </w:rPr>
              <w:t>Capping (2 subinjections)</w:t>
            </w:r>
          </w:p>
        </w:tc>
        <w:tc>
          <w:tcPr>
            <w:tcW w:type="dxa" w:w="3773"/>
            <w:tcMar>
              <w:top w:w="80" w:type="dxa"/>
              <w:start w:w="120" w:type="dxa"/>
              <w:bottom w:w="80" w:type="dxa"/>
              <w:end w:w="120" w:type="dxa"/>
            </w:tcMar>
            <w:shd w:fill="F2F4F7"/>
          </w:tcPr>
          <w:p>
            <w:pPr>
              <w:spacing w:after="0" w:line="240" w:lineRule="auto"/>
            </w:pPr>
            <w:r>
              <w:rPr>
                <w:sz w:val="13"/>
              </w:rPr>
              <w:t>Cap A: Acetic anhydride in THF, emp BIOTECH</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65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00:00:50</w:t>
            </w:r>
          </w:p>
        </w:tc>
      </w:tr>
      <w:tr>
        <w:trPr>
          <w:cantSplit/>
        </w:trPr>
        <w:tc>
          <w:tcPr>
            <w:tcW w:type="dxa" w:w="1469"/>
            <w:tcMar>
              <w:top w:w="80" w:type="dxa"/>
              <w:start w:w="120" w:type="dxa"/>
              <w:bottom w:w="80" w:type="dxa"/>
              <w:end w:w="120" w:type="dxa"/>
            </w:tcMar>
          </w:tcPr>
          <w:p>
            <w:pPr>
              <w:spacing w:after="0" w:line="240" w:lineRule="auto"/>
            </w:pPr>
            <w:r>
              <w:rPr>
                <w:sz w:val="13"/>
              </w:rPr>
              <w:t>Capping (2 subinjections)</w:t>
            </w:r>
          </w:p>
        </w:tc>
        <w:tc>
          <w:tcPr>
            <w:tcW w:type="dxa" w:w="3773"/>
            <w:tcMar>
              <w:top w:w="80" w:type="dxa"/>
              <w:start w:w="120" w:type="dxa"/>
              <w:bottom w:w="80" w:type="dxa"/>
              <w:end w:w="120" w:type="dxa"/>
            </w:tcMar>
          </w:tcPr>
          <w:p>
            <w:pPr>
              <w:spacing w:after="0" w:line="240" w:lineRule="auto"/>
            </w:pPr>
            <w:r>
              <w:rPr>
                <w:sz w:val="13"/>
              </w:rPr>
              <w:t>Cap B: Acetic anhydride in THF, emp BIOTECH</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65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00:00:50</w:t>
            </w:r>
          </w:p>
        </w:tc>
      </w:tr>
      <w:tr>
        <w:trPr>
          <w:cantSplit/>
        </w:trPr>
        <w:tc>
          <w:tcPr>
            <w:tcW w:type="dxa" w:w="1469"/>
            <w:tcMar>
              <w:top w:w="80" w:type="dxa"/>
              <w:start w:w="120" w:type="dxa"/>
              <w:bottom w:w="80" w:type="dxa"/>
              <w:end w:w="120" w:type="dxa"/>
            </w:tcMar>
            <w:shd w:fill="F2F4F7"/>
          </w:tcPr>
          <w:p>
            <w:pPr>
              <w:spacing w:after="0" w:line="240" w:lineRule="auto"/>
            </w:pPr>
            <w:r>
              <w:rPr>
                <w:sz w:val="13"/>
              </w:rPr>
              <w:t>Washing</w:t>
            </w:r>
          </w:p>
        </w:tc>
        <w:tc>
          <w:tcPr>
            <w:tcW w:type="dxa" w:w="3773"/>
            <w:tcMar>
              <w:top w:w="80" w:type="dxa"/>
              <w:start w:w="120" w:type="dxa"/>
              <w:bottom w:w="80" w:type="dxa"/>
              <w:end w:w="120" w:type="dxa"/>
            </w:tcMar>
            <w:shd w:fill="F2F4F7"/>
          </w:tcPr>
          <w:p>
            <w:pPr>
              <w:spacing w:after="0" w:line="240" w:lineRule="auto"/>
            </w:pPr>
            <w:r>
              <w:rPr>
                <w:sz w:val="13"/>
              </w:rPr>
              <w:t>Anhydrous Acetonitrile,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180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00:00:12</w:t>
            </w:r>
          </w:p>
        </w:tc>
      </w:tr>
      <w:tr>
        <w:trPr>
          <w:cantSplit/>
        </w:trPr>
        <w:tc>
          <w:tcPr>
            <w:tcW w:type="dxa" w:w="1469"/>
            <w:tcMar>
              <w:top w:w="80" w:type="dxa"/>
              <w:start w:w="120" w:type="dxa"/>
              <w:bottom w:w="80" w:type="dxa"/>
              <w:end w:w="120" w:type="dxa"/>
            </w:tcMar>
          </w:tcPr>
          <w:p>
            <w:pPr>
              <w:spacing w:after="0" w:line="240" w:lineRule="auto"/>
            </w:pPr>
            <w:r>
              <w:rPr>
                <w:sz w:val="13"/>
              </w:rPr>
              <w:t>Oxidation</w:t>
            </w:r>
          </w:p>
        </w:tc>
        <w:tc>
          <w:tcPr>
            <w:tcW w:type="dxa" w:w="3773"/>
            <w:tcMar>
              <w:top w:w="80" w:type="dxa"/>
              <w:start w:w="120" w:type="dxa"/>
              <w:bottom w:w="80" w:type="dxa"/>
              <w:end w:w="120" w:type="dxa"/>
            </w:tcMar>
          </w:tcPr>
          <w:p>
            <w:pPr>
              <w:spacing w:after="0" w:line="240" w:lineRule="auto"/>
            </w:pPr>
            <w:r>
              <w:rPr>
                <w:sz w:val="13"/>
              </w:rPr>
              <w:t>Iodine in water/pyridine/THF (0.02 M), emp BIOTECH</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80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00:01:00</w:t>
            </w:r>
          </w:p>
        </w:tc>
      </w:tr>
      <w:tr>
        <w:trPr>
          <w:cantSplit/>
        </w:trPr>
        <w:tc>
          <w:tcPr>
            <w:tcW w:type="dxa" w:w="1469"/>
            <w:tcMar>
              <w:top w:w="80" w:type="dxa"/>
              <w:start w:w="120" w:type="dxa"/>
              <w:bottom w:w="80" w:type="dxa"/>
              <w:end w:w="120" w:type="dxa"/>
            </w:tcMar>
            <w:shd w:fill="F2F4F7"/>
          </w:tcPr>
          <w:p>
            <w:pPr>
              <w:spacing w:after="0" w:line="240" w:lineRule="auto"/>
            </w:pPr>
            <w:r>
              <w:rPr>
                <w:sz w:val="13"/>
              </w:rPr>
              <w:t>2 × Washing</w:t>
            </w:r>
          </w:p>
        </w:tc>
        <w:tc>
          <w:tcPr>
            <w:tcW w:type="dxa" w:w="3773"/>
            <w:tcMar>
              <w:top w:w="80" w:type="dxa"/>
              <w:start w:w="120" w:type="dxa"/>
              <w:bottom w:w="80" w:type="dxa"/>
              <w:end w:w="120" w:type="dxa"/>
            </w:tcMar>
            <w:shd w:fill="F2F4F7"/>
          </w:tcPr>
          <w:p>
            <w:pPr>
              <w:spacing w:after="0" w:line="240" w:lineRule="auto"/>
            </w:pPr>
            <w:r>
              <w:rPr>
                <w:sz w:val="13"/>
              </w:rPr>
              <w:t>Anhydrous Acetonitrile,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180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00:00:12</w:t>
            </w:r>
          </w:p>
        </w:tc>
      </w:tr>
      <w:tr>
        <w:trPr>
          <w:cantSplit/>
        </w:trPr>
        <w:tc>
          <w:tcPr>
            <w:tcW w:type="dxa" w:w="1469"/>
            <w:tcMar>
              <w:top w:w="80" w:type="dxa"/>
              <w:start w:w="120" w:type="dxa"/>
              <w:bottom w:w="80" w:type="dxa"/>
              <w:end w:w="120" w:type="dxa"/>
            </w:tcMar>
          </w:tcPr>
          <w:p>
            <w:pPr>
              <w:spacing w:after="0" w:line="240" w:lineRule="auto"/>
            </w:pPr>
            <w:r>
              <w:rPr>
                <w:sz w:val="13"/>
              </w:rPr>
              <w:t>FINALIZATION</w:t>
            </w:r>
          </w:p>
        </w:tc>
        <w:tc>
          <w:tcPr>
            <w:tcW w:type="dxa" w:w="3773"/>
            <w:tcMar>
              <w:top w:w="80" w:type="dxa"/>
              <w:start w:w="120" w:type="dxa"/>
              <w:bottom w:w="80" w:type="dxa"/>
              <w:end w:w="120" w:type="dxa"/>
            </w:tcMar>
          </w:tcPr>
          <w:p>
            <w:pPr>
              <w:spacing w:after="0" w:line="240" w:lineRule="auto"/>
            </w:pPr>
            <w:r>
              <w:rPr>
                <w:sz w:val="13"/>
              </w:rPr>
              <w:t>FINALIZATION</w:t>
            </w:r>
          </w:p>
        </w:tc>
        <w:tc>
          <w:tcPr>
            <w:tcW w:type="dxa" w:w="1037"/>
            <w:tcMar>
              <w:top w:w="80" w:type="dxa"/>
              <w:start w:w="120" w:type="dxa"/>
              <w:bottom w:w="80" w:type="dxa"/>
              <w:end w:w="120" w:type="dxa"/>
            </w:tcMar>
          </w:tcPr>
          <w:p>
            <w:pPr>
              <w:spacing w:after="0" w:line="240" w:lineRule="auto"/>
            </w:pPr>
            <w:r>
              <w:rPr>
                <w:sz w:val="13"/>
              </w:rPr>
              <w:t>FINALIZATION</w:t>
            </w:r>
          </w:p>
        </w:tc>
        <w:tc>
          <w:tcPr>
            <w:tcW w:type="dxa" w:w="1037"/>
            <w:tcMar>
              <w:top w:w="80" w:type="dxa"/>
              <w:start w:w="120" w:type="dxa"/>
              <w:bottom w:w="80" w:type="dxa"/>
              <w:end w:w="120" w:type="dxa"/>
            </w:tcMar>
          </w:tcPr>
          <w:p>
            <w:pPr>
              <w:spacing w:after="0" w:line="240" w:lineRule="auto"/>
            </w:pPr>
            <w:r>
              <w:rPr>
                <w:sz w:val="13"/>
              </w:rPr>
              <w:t>FINALIZATION</w:t>
            </w:r>
          </w:p>
        </w:tc>
        <w:tc>
          <w:tcPr>
            <w:tcW w:type="dxa" w:w="1037"/>
            <w:tcMar>
              <w:top w:w="80" w:type="dxa"/>
              <w:start w:w="120" w:type="dxa"/>
              <w:bottom w:w="80" w:type="dxa"/>
              <w:end w:w="120" w:type="dxa"/>
            </w:tcMar>
          </w:tcPr>
          <w:p>
            <w:pPr>
              <w:spacing w:after="0" w:line="240" w:lineRule="auto"/>
            </w:pPr>
            <w:r>
              <w:rPr>
                <w:sz w:val="13"/>
              </w:rPr>
              <w:t>FINALIZATION</w:t>
            </w:r>
          </w:p>
        </w:tc>
        <w:tc>
          <w:tcPr>
            <w:tcW w:type="dxa" w:w="1152"/>
            <w:tcMar>
              <w:top w:w="80" w:type="dxa"/>
              <w:start w:w="120" w:type="dxa"/>
              <w:bottom w:w="80" w:type="dxa"/>
              <w:end w:w="120" w:type="dxa"/>
            </w:tcMar>
          </w:tcPr>
          <w:p>
            <w:pPr>
              <w:spacing w:after="0" w:line="240" w:lineRule="auto"/>
            </w:pPr>
            <w:r>
              <w:rPr>
                <w:sz w:val="13"/>
              </w:rPr>
              <w:t>FINALIZATION</w:t>
            </w:r>
          </w:p>
        </w:tc>
      </w:tr>
      <w:tr>
        <w:trPr>
          <w:cantSplit/>
        </w:trPr>
        <w:tc>
          <w:tcPr>
            <w:tcW w:type="dxa" w:w="1469"/>
            <w:tcMar>
              <w:top w:w="80" w:type="dxa"/>
              <w:start w:w="120" w:type="dxa"/>
              <w:bottom w:w="80" w:type="dxa"/>
              <w:end w:w="120" w:type="dxa"/>
            </w:tcMar>
            <w:shd w:fill="F2F4F7"/>
          </w:tcPr>
          <w:p>
            <w:pPr>
              <w:spacing w:after="0" w:line="240" w:lineRule="auto"/>
            </w:pPr>
            <w:r>
              <w:rPr>
                <w:sz w:val="13"/>
              </w:rPr>
              <w:t>3 × Deblocking</w:t>
            </w:r>
          </w:p>
        </w:tc>
        <w:tc>
          <w:tcPr>
            <w:tcW w:type="dxa" w:w="3773"/>
            <w:tcMar>
              <w:top w:w="80" w:type="dxa"/>
              <w:start w:w="120" w:type="dxa"/>
              <w:bottom w:w="80" w:type="dxa"/>
              <w:end w:w="120" w:type="dxa"/>
            </w:tcMar>
            <w:shd w:fill="F2F4F7"/>
          </w:tcPr>
          <w:p>
            <w:pPr>
              <w:spacing w:after="0" w:line="240" w:lineRule="auto"/>
            </w:pPr>
            <w:r>
              <w:rPr>
                <w:sz w:val="13"/>
              </w:rPr>
              <w:t>3% Trichloroacetic Acid (TCA) in dichloromethane,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150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00:00:45</w:t>
            </w:r>
          </w:p>
        </w:tc>
      </w:tr>
      <w:tr>
        <w:trPr>
          <w:cantSplit/>
        </w:trPr>
        <w:tc>
          <w:tcPr>
            <w:tcW w:type="dxa" w:w="1469"/>
            <w:tcMar>
              <w:top w:w="80" w:type="dxa"/>
              <w:start w:w="120" w:type="dxa"/>
              <w:bottom w:w="80" w:type="dxa"/>
              <w:end w:w="120" w:type="dxa"/>
            </w:tcMar>
          </w:tcPr>
          <w:p>
            <w:pPr>
              <w:spacing w:after="0" w:line="240" w:lineRule="auto"/>
            </w:pPr>
            <w:r>
              <w:rPr>
                <w:sz w:val="13"/>
              </w:rPr>
              <w:t>3 × Washing</w:t>
            </w:r>
          </w:p>
        </w:tc>
        <w:tc>
          <w:tcPr>
            <w:tcW w:type="dxa" w:w="3773"/>
            <w:tcMar>
              <w:top w:w="80" w:type="dxa"/>
              <w:start w:w="120" w:type="dxa"/>
              <w:bottom w:w="80" w:type="dxa"/>
              <w:end w:w="120" w:type="dxa"/>
            </w:tcMar>
          </w:tcPr>
          <w:p>
            <w:pPr>
              <w:spacing w:after="0" w:line="240" w:lineRule="auto"/>
            </w:pPr>
            <w:r>
              <w:rPr>
                <w:sz w:val="13"/>
              </w:rPr>
              <w:t>Anhydrous Acetonitrile, (emp BIOTECH, Berlin, Germany)</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180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00:00:12</w:t>
            </w:r>
          </w:p>
        </w:tc>
      </w:tr>
      <w:tr>
        <w:trPr>
          <w:cantSplit/>
        </w:trPr>
        <w:tc>
          <w:tcPr>
            <w:tcW w:type="dxa" w:w="1469"/>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3773"/>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1037"/>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1037"/>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1037"/>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1152"/>
            <w:tcMar>
              <w:top w:w="80" w:type="dxa"/>
              <w:start w:w="120" w:type="dxa"/>
              <w:bottom w:w="80" w:type="dxa"/>
              <w:end w:w="120" w:type="dxa"/>
            </w:tcMar>
            <w:shd w:fill="F2F4F7"/>
          </w:tcPr>
          <w:p>
            <w:pPr>
              <w:spacing w:after="0" w:line="240" w:lineRule="auto"/>
            </w:pPr>
            <w:r>
              <w:rPr>
                <w:sz w:val="13"/>
              </w:rPr>
              <w:t>DEPROTECTION OUTSIDE THE OLIGOSYNTHESIZER</w:t>
            </w:r>
          </w:p>
        </w:tc>
      </w:tr>
      <w:tr>
        <w:trPr>
          <w:cantSplit/>
        </w:trPr>
        <w:tc>
          <w:tcPr>
            <w:tcW w:type="dxa" w:w="1469"/>
            <w:tcMar>
              <w:top w:w="80" w:type="dxa"/>
              <w:start w:w="120" w:type="dxa"/>
              <w:bottom w:w="80" w:type="dxa"/>
              <w:end w:w="120" w:type="dxa"/>
            </w:tcMar>
          </w:tcPr>
          <w:p>
            <w:pPr>
              <w:spacing w:after="0" w:line="240" w:lineRule="auto"/>
            </w:pPr>
            <w:r>
              <w:rPr>
                <w:sz w:val="13"/>
              </w:rPr>
              <w:t>Cleavage &amp; Deprotection</w:t>
            </w:r>
          </w:p>
        </w:tc>
        <w:tc>
          <w:tcPr>
            <w:tcW w:type="dxa" w:w="3773"/>
            <w:tcMar>
              <w:top w:w="80" w:type="dxa"/>
              <w:start w:w="120" w:type="dxa"/>
              <w:bottom w:w="80" w:type="dxa"/>
              <w:end w:w="120" w:type="dxa"/>
            </w:tcMar>
          </w:tcPr>
          <w:p>
            <w:pPr>
              <w:spacing w:after="0" w:line="240" w:lineRule="auto"/>
            </w:pPr>
            <w:r>
              <w:rPr>
                <w:sz w:val="13"/>
              </w:rPr>
              <w:t>Concentrated ammonia solution, (Sigma-Aldrich, St. Louis, MO, USA)</w:t>
            </w:r>
          </w:p>
        </w:tc>
        <w:tc>
          <w:tcPr>
            <w:tcW w:type="dxa" w:w="1037"/>
            <w:tcMar>
              <w:top w:w="80" w:type="dxa"/>
              <w:start w:w="120" w:type="dxa"/>
              <w:bottom w:w="80" w:type="dxa"/>
              <w:end w:w="120" w:type="dxa"/>
            </w:tcMar>
          </w:tcPr>
          <w:p>
            <w:pPr>
              <w:spacing w:after="0" w:line="240" w:lineRule="auto"/>
            </w:pPr>
            <w:r>
              <w:rPr>
                <w:sz w:val="13"/>
              </w:rPr>
              <w:t>/</w:t>
            </w:r>
          </w:p>
        </w:tc>
        <w:tc>
          <w:tcPr>
            <w:tcW w:type="dxa" w:w="1037"/>
            <w:tcMar>
              <w:top w:w="80" w:type="dxa"/>
              <w:start w:w="120" w:type="dxa"/>
              <w:bottom w:w="80" w:type="dxa"/>
              <w:end w:w="120" w:type="dxa"/>
            </w:tcMar>
          </w:tcPr>
          <w:p>
            <w:pPr>
              <w:spacing w:after="0" w:line="240" w:lineRule="auto"/>
            </w:pPr>
            <w:r>
              <w:rPr>
                <w:sz w:val="13"/>
              </w:rPr>
              <w:t>1 mL</w:t>
            </w:r>
          </w:p>
        </w:tc>
        <w:tc>
          <w:tcPr>
            <w:tcW w:type="dxa" w:w="1037"/>
            <w:tcMar>
              <w:top w:w="80" w:type="dxa"/>
              <w:start w:w="120" w:type="dxa"/>
              <w:bottom w:w="80" w:type="dxa"/>
              <w:end w:w="120" w:type="dxa"/>
            </w:tcMar>
          </w:tcPr>
          <w:p>
            <w:pPr>
              <w:spacing w:after="0" w:line="240" w:lineRule="auto"/>
            </w:pPr>
            <w:r>
              <w:rPr>
                <w:sz w:val="13"/>
              </w:rPr>
              <w:t>18 h at 70°C</w:t>
            </w:r>
          </w:p>
        </w:tc>
        <w:tc>
          <w:tcPr>
            <w:tcW w:type="dxa" w:w="1152"/>
            <w:tcMar>
              <w:top w:w="80" w:type="dxa"/>
              <w:start w:w="120" w:type="dxa"/>
              <w:bottom w:w="80" w:type="dxa"/>
              <w:end w:w="120" w:type="dxa"/>
            </w:tcMar>
          </w:tcPr>
          <w:p>
            <w:pPr>
              <w:spacing w:after="0" w:line="240" w:lineRule="auto"/>
            </w:pPr>
            <w:r>
              <w:rPr>
                <w:sz w:val="13"/>
              </w:rPr>
              <w:t>/</w:t>
            </w:r>
          </w:p>
        </w:tc>
      </w:tr>
    </w:tbl>
    <w:p>
      <w:pPr>
        <w:spacing w:after="20"/>
      </w:pPr>
    </w:p>
    <w:p>
      <w:r>
        <w:br w:type="page"/>
      </w:r>
    </w:p>
    <w:p>
      <w:pPr>
        <w:pStyle w:val="Heading1"/>
      </w:pPr>
      <w:r>
        <w:t>S6. Primer record</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2412"/>
        <w:gridCol w:w="2412"/>
        <w:gridCol w:w="2412"/>
        <w:gridCol w:w="2412"/>
      </w:tblGrid>
      <w:tr>
        <w:trPr>
          <w:tblHeader w:val="true"/>
        </w:trPr>
        <w:tc>
          <w:tcPr>
            <w:tcW w:type="dxa" w:w="1037"/>
            <w:tcMar>
              <w:top w:w="80" w:type="dxa"/>
              <w:start w:w="120" w:type="dxa"/>
              <w:bottom w:w="80" w:type="dxa"/>
              <w:end w:w="120" w:type="dxa"/>
            </w:tcMar>
            <w:shd w:fill="12233F"/>
            <w:vAlign w:val="center"/>
          </w:tcPr>
          <w:p>
            <w:pPr>
              <w:spacing w:after="0"/>
            </w:pPr>
            <w:r>
              <w:rPr>
                <w:b/>
                <w:color w:val="FFFFFF"/>
                <w:sz w:val="15"/>
              </w:rPr>
              <w:t>Primer</w:t>
            </w:r>
          </w:p>
        </w:tc>
        <w:tc>
          <w:tcPr>
            <w:tcW w:type="dxa" w:w="4896"/>
            <w:tcMar>
              <w:top w:w="80" w:type="dxa"/>
              <w:start w:w="120" w:type="dxa"/>
              <w:bottom w:w="80" w:type="dxa"/>
              <w:end w:w="120" w:type="dxa"/>
            </w:tcMar>
            <w:shd w:fill="12233F"/>
            <w:vAlign w:val="center"/>
          </w:tcPr>
          <w:p>
            <w:pPr>
              <w:spacing w:after="0"/>
            </w:pPr>
            <w:r>
              <w:rPr>
                <w:b/>
                <w:color w:val="FFFFFF"/>
                <w:sz w:val="15"/>
              </w:rPr>
              <w:t>Sequence (5′→3′)</w:t>
            </w:r>
          </w:p>
        </w:tc>
        <w:tc>
          <w:tcPr>
            <w:tcW w:type="dxa" w:w="1440"/>
            <w:tcMar>
              <w:top w:w="80" w:type="dxa"/>
              <w:start w:w="120" w:type="dxa"/>
              <w:bottom w:w="80" w:type="dxa"/>
              <w:end w:w="120" w:type="dxa"/>
            </w:tcMar>
            <w:shd w:fill="12233F"/>
            <w:vAlign w:val="center"/>
          </w:tcPr>
          <w:p>
            <w:pPr>
              <w:spacing w:after="0"/>
            </w:pPr>
            <w:r>
              <w:rPr>
                <w:b/>
                <w:color w:val="FFFFFF"/>
                <w:sz w:val="15"/>
              </w:rPr>
              <w:t>Reported Tm (°C)</w:t>
            </w:r>
          </w:p>
        </w:tc>
        <w:tc>
          <w:tcPr>
            <w:tcW w:type="dxa" w:w="2131"/>
            <w:tcMar>
              <w:top w:w="80" w:type="dxa"/>
              <w:start w:w="120" w:type="dxa"/>
              <w:bottom w:w="80" w:type="dxa"/>
              <w:end w:w="120" w:type="dxa"/>
            </w:tcMar>
            <w:shd w:fill="12233F"/>
            <w:vAlign w:val="center"/>
          </w:tcPr>
          <w:p>
            <w:pPr>
              <w:spacing w:after="0"/>
            </w:pPr>
            <w:r>
              <w:rPr>
                <w:b/>
                <w:color w:val="FFFFFF"/>
                <w:sz w:val="15"/>
              </w:rPr>
              <w:t>Expected product (bp)</w:t>
            </w:r>
          </w:p>
        </w:tc>
      </w:tr>
      <w:tr>
        <w:trPr>
          <w:cantSplit/>
        </w:trPr>
        <w:tc>
          <w:tcPr>
            <w:tcW w:type="dxa" w:w="1037"/>
            <w:tcMar>
              <w:top w:w="80" w:type="dxa"/>
              <w:start w:w="120" w:type="dxa"/>
              <w:bottom w:w="80" w:type="dxa"/>
              <w:end w:w="120" w:type="dxa"/>
            </w:tcMar>
          </w:tcPr>
          <w:p>
            <w:pPr>
              <w:spacing w:after="0" w:line="240" w:lineRule="auto"/>
            </w:pPr>
            <w:r>
              <w:rPr>
                <w:sz w:val="15"/>
              </w:rPr>
              <w:t>SpAB F</w:t>
            </w:r>
          </w:p>
        </w:tc>
        <w:tc>
          <w:tcPr>
            <w:tcW w:type="dxa" w:w="4896"/>
            <w:tcMar>
              <w:top w:w="80" w:type="dxa"/>
              <w:start w:w="120" w:type="dxa"/>
              <w:bottom w:w="80" w:type="dxa"/>
              <w:end w:w="120" w:type="dxa"/>
            </w:tcMar>
          </w:tcPr>
          <w:p>
            <w:pPr>
              <w:spacing w:after="0" w:line="240" w:lineRule="auto"/>
            </w:pPr>
            <w:r>
              <w:rPr>
                <w:sz w:val="15"/>
              </w:rPr>
              <w:t>ATGGGTTCTTCTCACCACCACCA</w:t>
            </w:r>
          </w:p>
        </w:tc>
        <w:tc>
          <w:tcPr>
            <w:tcW w:type="dxa" w:w="1440"/>
            <w:tcMar>
              <w:top w:w="80" w:type="dxa"/>
              <w:start w:w="120" w:type="dxa"/>
              <w:bottom w:w="80" w:type="dxa"/>
              <w:end w:w="120" w:type="dxa"/>
            </w:tcMar>
          </w:tcPr>
          <w:p>
            <w:pPr>
              <w:spacing w:after="0" w:line="240" w:lineRule="auto"/>
            </w:pPr>
            <w:r>
              <w:rPr>
                <w:sz w:val="15"/>
              </w:rPr>
              <w:t>58.6</w:t>
            </w:r>
          </w:p>
        </w:tc>
        <w:tc>
          <w:tcPr>
            <w:tcW w:type="dxa" w:w="2131"/>
            <w:tcMar>
              <w:top w:w="80" w:type="dxa"/>
              <w:start w:w="120" w:type="dxa"/>
              <w:bottom w:w="80" w:type="dxa"/>
              <w:end w:w="120" w:type="dxa"/>
            </w:tcMar>
          </w:tcPr>
          <w:p>
            <w:pPr>
              <w:spacing w:after="0" w:line="240" w:lineRule="auto"/>
            </w:pPr>
            <w:r>
              <w:rPr>
                <w:sz w:val="15"/>
              </w:rPr>
              <w:t>123 A / 156 B</w:t>
            </w:r>
          </w:p>
        </w:tc>
      </w:tr>
      <w:tr>
        <w:trPr>
          <w:cantSplit/>
        </w:trPr>
        <w:tc>
          <w:tcPr>
            <w:tcW w:type="dxa" w:w="1037"/>
            <w:tcMar>
              <w:top w:w="80" w:type="dxa"/>
              <w:start w:w="120" w:type="dxa"/>
              <w:bottom w:w="80" w:type="dxa"/>
              <w:end w:w="120" w:type="dxa"/>
            </w:tcMar>
            <w:shd w:fill="F2F4F7"/>
          </w:tcPr>
          <w:p>
            <w:pPr>
              <w:spacing w:after="0" w:line="240" w:lineRule="auto"/>
            </w:pPr>
            <w:r>
              <w:rPr>
                <w:sz w:val="15"/>
              </w:rPr>
              <w:t>SpA R</w:t>
            </w:r>
          </w:p>
        </w:tc>
        <w:tc>
          <w:tcPr>
            <w:tcW w:type="dxa" w:w="4896"/>
            <w:tcMar>
              <w:top w:w="80" w:type="dxa"/>
              <w:start w:w="120" w:type="dxa"/>
              <w:bottom w:w="80" w:type="dxa"/>
              <w:end w:w="120" w:type="dxa"/>
            </w:tcMar>
            <w:shd w:fill="F2F4F7"/>
          </w:tcPr>
          <w:p>
            <w:pPr>
              <w:spacing w:after="0" w:line="240" w:lineRule="auto"/>
            </w:pPr>
            <w:r>
              <w:rPr>
                <w:sz w:val="15"/>
              </w:rPr>
              <w:t>TTAGCCGCAGTAGTTTTCCA</w:t>
            </w:r>
          </w:p>
        </w:tc>
        <w:tc>
          <w:tcPr>
            <w:tcW w:type="dxa" w:w="1440"/>
            <w:tcMar>
              <w:top w:w="80" w:type="dxa"/>
              <w:start w:w="120" w:type="dxa"/>
              <w:bottom w:w="80" w:type="dxa"/>
              <w:end w:w="120" w:type="dxa"/>
            </w:tcMar>
            <w:shd w:fill="F2F4F7"/>
          </w:tcPr>
          <w:p>
            <w:pPr>
              <w:spacing w:after="0" w:line="240" w:lineRule="auto"/>
            </w:pPr>
            <w:r>
              <w:rPr>
                <w:sz w:val="15"/>
              </w:rPr>
              <w:t>52.3</w:t>
            </w:r>
          </w:p>
        </w:tc>
        <w:tc>
          <w:tcPr>
            <w:tcW w:type="dxa" w:w="2131"/>
            <w:tcMar>
              <w:top w:w="80" w:type="dxa"/>
              <w:start w:w="120" w:type="dxa"/>
              <w:bottom w:w="80" w:type="dxa"/>
              <w:end w:w="120" w:type="dxa"/>
            </w:tcMar>
            <w:shd w:fill="F2F4F7"/>
          </w:tcPr>
          <w:p>
            <w:pPr>
              <w:spacing w:after="0" w:line="240" w:lineRule="auto"/>
            </w:pPr>
            <w:r>
              <w:rPr>
                <w:sz w:val="15"/>
              </w:rPr>
              <w:t>123 A</w:t>
            </w:r>
          </w:p>
        </w:tc>
      </w:tr>
      <w:tr>
        <w:trPr>
          <w:cantSplit/>
        </w:trPr>
        <w:tc>
          <w:tcPr>
            <w:tcW w:type="dxa" w:w="1037"/>
            <w:tcMar>
              <w:top w:w="80" w:type="dxa"/>
              <w:start w:w="120" w:type="dxa"/>
              <w:bottom w:w="80" w:type="dxa"/>
              <w:end w:w="120" w:type="dxa"/>
            </w:tcMar>
          </w:tcPr>
          <w:p>
            <w:pPr>
              <w:spacing w:after="0" w:line="240" w:lineRule="auto"/>
            </w:pPr>
            <w:r>
              <w:rPr>
                <w:sz w:val="15"/>
              </w:rPr>
              <w:t>SpB R</w:t>
            </w:r>
          </w:p>
        </w:tc>
        <w:tc>
          <w:tcPr>
            <w:tcW w:type="dxa" w:w="4896"/>
            <w:tcMar>
              <w:top w:w="80" w:type="dxa"/>
              <w:start w:w="120" w:type="dxa"/>
              <w:bottom w:w="80" w:type="dxa"/>
              <w:end w:w="120" w:type="dxa"/>
            </w:tcMar>
          </w:tcPr>
          <w:p>
            <w:pPr>
              <w:spacing w:after="0" w:line="240" w:lineRule="auto"/>
            </w:pPr>
            <w:r>
              <w:rPr>
                <w:sz w:val="15"/>
              </w:rPr>
              <w:t>TTAGCGGCGGGTTTTTGG</w:t>
            </w:r>
          </w:p>
        </w:tc>
        <w:tc>
          <w:tcPr>
            <w:tcW w:type="dxa" w:w="1440"/>
            <w:tcMar>
              <w:top w:w="80" w:type="dxa"/>
              <w:start w:w="120" w:type="dxa"/>
              <w:bottom w:w="80" w:type="dxa"/>
              <w:end w:w="120" w:type="dxa"/>
            </w:tcMar>
          </w:tcPr>
          <w:p>
            <w:pPr>
              <w:spacing w:after="0" w:line="240" w:lineRule="auto"/>
            </w:pPr>
            <w:r>
              <w:rPr>
                <w:sz w:val="15"/>
              </w:rPr>
              <w:t>53.8</w:t>
            </w:r>
          </w:p>
        </w:tc>
        <w:tc>
          <w:tcPr>
            <w:tcW w:type="dxa" w:w="2131"/>
            <w:tcMar>
              <w:top w:w="80" w:type="dxa"/>
              <w:start w:w="120" w:type="dxa"/>
              <w:bottom w:w="80" w:type="dxa"/>
              <w:end w:w="120" w:type="dxa"/>
            </w:tcMar>
          </w:tcPr>
          <w:p>
            <w:pPr>
              <w:spacing w:after="0" w:line="240" w:lineRule="auto"/>
            </w:pPr>
            <w:r>
              <w:rPr>
                <w:sz w:val="15"/>
              </w:rPr>
              <w:t>156 B</w:t>
            </w:r>
          </w:p>
        </w:tc>
      </w:tr>
      <w:tr>
        <w:trPr>
          <w:cantSplit/>
        </w:trPr>
        <w:tc>
          <w:tcPr>
            <w:tcW w:type="dxa" w:w="1037"/>
            <w:tcMar>
              <w:top w:w="80" w:type="dxa"/>
              <w:start w:w="120" w:type="dxa"/>
              <w:bottom w:w="80" w:type="dxa"/>
              <w:end w:w="120" w:type="dxa"/>
            </w:tcMar>
            <w:shd w:fill="F2F4F7"/>
          </w:tcPr>
          <w:p>
            <w:pPr>
              <w:spacing w:after="0" w:line="240" w:lineRule="auto"/>
            </w:pPr>
            <w:r>
              <w:rPr>
                <w:sz w:val="15"/>
              </w:rPr>
              <w:t>SeqAB F</w:t>
            </w:r>
          </w:p>
        </w:tc>
        <w:tc>
          <w:tcPr>
            <w:tcW w:type="dxa" w:w="4896"/>
            <w:tcMar>
              <w:top w:w="80" w:type="dxa"/>
              <w:start w:w="120" w:type="dxa"/>
              <w:bottom w:w="80" w:type="dxa"/>
              <w:end w:w="120" w:type="dxa"/>
            </w:tcMar>
            <w:shd w:fill="F2F4F7"/>
          </w:tcPr>
          <w:p>
            <w:pPr>
              <w:spacing w:after="0" w:line="240" w:lineRule="auto"/>
            </w:pPr>
            <w:r>
              <w:rPr>
                <w:sz w:val="15"/>
              </w:rPr>
              <w:t>TGCATCCATATGGGTTCTTCTCACCACCACCA</w:t>
            </w:r>
          </w:p>
        </w:tc>
        <w:tc>
          <w:tcPr>
            <w:tcW w:type="dxa" w:w="1440"/>
            <w:tcMar>
              <w:top w:w="80" w:type="dxa"/>
              <w:start w:w="120" w:type="dxa"/>
              <w:bottom w:w="80" w:type="dxa"/>
              <w:end w:w="120" w:type="dxa"/>
            </w:tcMar>
            <w:shd w:fill="F2F4F7"/>
          </w:tcPr>
          <w:p>
            <w:pPr>
              <w:spacing w:after="0" w:line="240" w:lineRule="auto"/>
            </w:pPr>
            <w:r>
              <w:rPr>
                <w:sz w:val="15"/>
              </w:rPr>
              <w:t>67.2</w:t>
            </w:r>
          </w:p>
        </w:tc>
        <w:tc>
          <w:tcPr>
            <w:tcW w:type="dxa" w:w="2131"/>
            <w:tcMar>
              <w:top w:w="80" w:type="dxa"/>
              <w:start w:w="120" w:type="dxa"/>
              <w:bottom w:w="80" w:type="dxa"/>
              <w:end w:w="120" w:type="dxa"/>
            </w:tcMar>
            <w:shd w:fill="F2F4F7"/>
          </w:tcPr>
          <w:p>
            <w:pPr>
              <w:spacing w:after="0" w:line="240" w:lineRule="auto"/>
            </w:pPr>
            <w:r>
              <w:rPr>
                <w:sz w:val="15"/>
              </w:rPr>
              <w:t>144 A / 177 B</w:t>
            </w:r>
          </w:p>
        </w:tc>
      </w:tr>
      <w:tr>
        <w:trPr>
          <w:cantSplit/>
        </w:trPr>
        <w:tc>
          <w:tcPr>
            <w:tcW w:type="dxa" w:w="1037"/>
            <w:tcMar>
              <w:top w:w="80" w:type="dxa"/>
              <w:start w:w="120" w:type="dxa"/>
              <w:bottom w:w="80" w:type="dxa"/>
              <w:end w:w="120" w:type="dxa"/>
            </w:tcMar>
          </w:tcPr>
          <w:p>
            <w:pPr>
              <w:spacing w:after="0" w:line="240" w:lineRule="auto"/>
            </w:pPr>
            <w:r>
              <w:rPr>
                <w:sz w:val="15"/>
              </w:rPr>
              <w:t>SeqA R</w:t>
            </w:r>
          </w:p>
        </w:tc>
        <w:tc>
          <w:tcPr>
            <w:tcW w:type="dxa" w:w="4896"/>
            <w:tcMar>
              <w:top w:w="80" w:type="dxa"/>
              <w:start w:w="120" w:type="dxa"/>
              <w:bottom w:w="80" w:type="dxa"/>
              <w:end w:w="120" w:type="dxa"/>
            </w:tcMar>
          </w:tcPr>
          <w:p>
            <w:pPr>
              <w:spacing w:after="0" w:line="240" w:lineRule="auto"/>
            </w:pPr>
            <w:r>
              <w:rPr>
                <w:sz w:val="15"/>
              </w:rPr>
              <w:t>TGCATCCTCGAGTTAGCCGCAGTAGTTTTCCA</w:t>
            </w:r>
          </w:p>
        </w:tc>
        <w:tc>
          <w:tcPr>
            <w:tcW w:type="dxa" w:w="1440"/>
            <w:tcMar>
              <w:top w:w="80" w:type="dxa"/>
              <w:start w:w="120" w:type="dxa"/>
              <w:bottom w:w="80" w:type="dxa"/>
              <w:end w:w="120" w:type="dxa"/>
            </w:tcMar>
          </w:tcPr>
          <w:p>
            <w:pPr>
              <w:spacing w:after="0" w:line="240" w:lineRule="auto"/>
            </w:pPr>
            <w:r>
              <w:rPr>
                <w:sz w:val="15"/>
              </w:rPr>
              <w:t>65.8</w:t>
            </w:r>
          </w:p>
        </w:tc>
        <w:tc>
          <w:tcPr>
            <w:tcW w:type="dxa" w:w="2131"/>
            <w:tcMar>
              <w:top w:w="80" w:type="dxa"/>
              <w:start w:w="120" w:type="dxa"/>
              <w:bottom w:w="80" w:type="dxa"/>
              <w:end w:w="120" w:type="dxa"/>
            </w:tcMar>
          </w:tcPr>
          <w:p>
            <w:pPr>
              <w:spacing w:after="0" w:line="240" w:lineRule="auto"/>
            </w:pPr>
            <w:r>
              <w:rPr>
                <w:sz w:val="15"/>
              </w:rPr>
              <w:t>144 A</w:t>
            </w:r>
          </w:p>
        </w:tc>
      </w:tr>
      <w:tr>
        <w:trPr>
          <w:cantSplit/>
        </w:trPr>
        <w:tc>
          <w:tcPr>
            <w:tcW w:type="dxa" w:w="1037"/>
            <w:tcMar>
              <w:top w:w="80" w:type="dxa"/>
              <w:start w:w="120" w:type="dxa"/>
              <w:bottom w:w="80" w:type="dxa"/>
              <w:end w:w="120" w:type="dxa"/>
            </w:tcMar>
            <w:shd w:fill="F2F4F7"/>
          </w:tcPr>
          <w:p>
            <w:pPr>
              <w:spacing w:after="0" w:line="240" w:lineRule="auto"/>
            </w:pPr>
            <w:r>
              <w:rPr>
                <w:sz w:val="15"/>
              </w:rPr>
              <w:t>SeqB R</w:t>
            </w:r>
          </w:p>
        </w:tc>
        <w:tc>
          <w:tcPr>
            <w:tcW w:type="dxa" w:w="4896"/>
            <w:tcMar>
              <w:top w:w="80" w:type="dxa"/>
              <w:start w:w="120" w:type="dxa"/>
              <w:bottom w:w="80" w:type="dxa"/>
              <w:end w:w="120" w:type="dxa"/>
            </w:tcMar>
            <w:shd w:fill="F2F4F7"/>
          </w:tcPr>
          <w:p>
            <w:pPr>
              <w:spacing w:after="0" w:line="240" w:lineRule="auto"/>
            </w:pPr>
            <w:r>
              <w:rPr>
                <w:sz w:val="15"/>
              </w:rPr>
              <w:t>TGCATCCTCGAGTTAGCGGCGGGTTTTTGG</w:t>
            </w:r>
          </w:p>
        </w:tc>
        <w:tc>
          <w:tcPr>
            <w:tcW w:type="dxa" w:w="1440"/>
            <w:tcMar>
              <w:top w:w="80" w:type="dxa"/>
              <w:start w:w="120" w:type="dxa"/>
              <w:bottom w:w="80" w:type="dxa"/>
              <w:end w:w="120" w:type="dxa"/>
            </w:tcMar>
            <w:shd w:fill="F2F4F7"/>
          </w:tcPr>
          <w:p>
            <w:pPr>
              <w:spacing w:after="0" w:line="240" w:lineRule="auto"/>
            </w:pPr>
            <w:r>
              <w:rPr>
                <w:sz w:val="15"/>
              </w:rPr>
              <w:t>66.4</w:t>
            </w:r>
          </w:p>
        </w:tc>
        <w:tc>
          <w:tcPr>
            <w:tcW w:type="dxa" w:w="2131"/>
            <w:tcMar>
              <w:top w:w="80" w:type="dxa"/>
              <w:start w:w="120" w:type="dxa"/>
              <w:bottom w:w="80" w:type="dxa"/>
              <w:end w:w="120" w:type="dxa"/>
            </w:tcMar>
            <w:shd w:fill="F2F4F7"/>
          </w:tcPr>
          <w:p>
            <w:pPr>
              <w:spacing w:after="0" w:line="240" w:lineRule="auto"/>
            </w:pPr>
            <w:r>
              <w:rPr>
                <w:sz w:val="15"/>
              </w:rPr>
              <w:t>177 B</w:t>
            </w:r>
          </w:p>
        </w:tc>
      </w:tr>
      <w:tr>
        <w:trPr>
          <w:cantSplit/>
        </w:trPr>
        <w:tc>
          <w:tcPr>
            <w:tcW w:type="dxa" w:w="1037"/>
            <w:tcMar>
              <w:top w:w="80" w:type="dxa"/>
              <w:start w:w="120" w:type="dxa"/>
              <w:bottom w:w="80" w:type="dxa"/>
              <w:end w:w="120" w:type="dxa"/>
            </w:tcMar>
          </w:tcPr>
          <w:p>
            <w:pPr>
              <w:spacing w:after="0" w:line="240" w:lineRule="auto"/>
            </w:pPr>
            <w:r>
              <w:rPr>
                <w:sz w:val="15"/>
              </w:rPr>
              <w:t>T7 F</w:t>
            </w:r>
          </w:p>
        </w:tc>
        <w:tc>
          <w:tcPr>
            <w:tcW w:type="dxa" w:w="4896"/>
            <w:tcMar>
              <w:top w:w="80" w:type="dxa"/>
              <w:start w:w="120" w:type="dxa"/>
              <w:bottom w:w="80" w:type="dxa"/>
              <w:end w:w="120" w:type="dxa"/>
            </w:tcMar>
          </w:tcPr>
          <w:p>
            <w:pPr>
              <w:spacing w:after="0" w:line="240" w:lineRule="auto"/>
            </w:pPr>
            <w:r>
              <w:rPr>
                <w:sz w:val="15"/>
              </w:rPr>
              <w:t>TAATACGACTCACTATAGGG</w:t>
            </w:r>
          </w:p>
        </w:tc>
        <w:tc>
          <w:tcPr>
            <w:tcW w:type="dxa" w:w="1440"/>
            <w:tcMar>
              <w:top w:w="80" w:type="dxa"/>
              <w:start w:w="120" w:type="dxa"/>
              <w:bottom w:w="80" w:type="dxa"/>
              <w:end w:w="120" w:type="dxa"/>
            </w:tcMar>
          </w:tcPr>
          <w:p>
            <w:pPr>
              <w:spacing w:after="0" w:line="240" w:lineRule="auto"/>
            </w:pPr>
            <w:r>
              <w:rPr>
                <w:sz w:val="15"/>
              </w:rPr>
              <w:t>52.0</w:t>
            </w:r>
          </w:p>
        </w:tc>
        <w:tc>
          <w:tcPr>
            <w:tcW w:type="dxa" w:w="2131"/>
            <w:tcMar>
              <w:top w:w="80" w:type="dxa"/>
              <w:start w:w="120" w:type="dxa"/>
              <w:bottom w:w="80" w:type="dxa"/>
              <w:end w:w="120" w:type="dxa"/>
            </w:tcMar>
          </w:tcPr>
          <w:p>
            <w:pPr>
              <w:spacing w:after="0" w:line="240" w:lineRule="auto"/>
            </w:pPr>
            <w:r>
              <w:rPr>
                <w:sz w:val="15"/>
              </w:rPr>
              <w:t>307 A / 340 B</w:t>
            </w:r>
          </w:p>
        </w:tc>
      </w:tr>
      <w:tr>
        <w:trPr>
          <w:cantSplit/>
        </w:trPr>
        <w:tc>
          <w:tcPr>
            <w:tcW w:type="dxa" w:w="1037"/>
            <w:tcMar>
              <w:top w:w="80" w:type="dxa"/>
              <w:start w:w="120" w:type="dxa"/>
              <w:bottom w:w="80" w:type="dxa"/>
              <w:end w:w="120" w:type="dxa"/>
            </w:tcMar>
            <w:shd w:fill="F2F4F7"/>
          </w:tcPr>
          <w:p>
            <w:pPr>
              <w:spacing w:after="0" w:line="240" w:lineRule="auto"/>
            </w:pPr>
            <w:r>
              <w:rPr>
                <w:sz w:val="15"/>
              </w:rPr>
              <w:t>T7 R</w:t>
            </w:r>
          </w:p>
        </w:tc>
        <w:tc>
          <w:tcPr>
            <w:tcW w:type="dxa" w:w="4896"/>
            <w:tcMar>
              <w:top w:w="80" w:type="dxa"/>
              <w:start w:w="120" w:type="dxa"/>
              <w:bottom w:w="80" w:type="dxa"/>
              <w:end w:w="120" w:type="dxa"/>
            </w:tcMar>
            <w:shd w:fill="F2F4F7"/>
          </w:tcPr>
          <w:p>
            <w:pPr>
              <w:spacing w:after="0" w:line="240" w:lineRule="auto"/>
            </w:pPr>
            <w:r>
              <w:rPr>
                <w:sz w:val="15"/>
              </w:rPr>
              <w:t>GCTAGTTATTGCTCAGCGG</w:t>
            </w:r>
          </w:p>
        </w:tc>
        <w:tc>
          <w:tcPr>
            <w:tcW w:type="dxa" w:w="1440"/>
            <w:tcMar>
              <w:top w:w="80" w:type="dxa"/>
              <w:start w:w="120" w:type="dxa"/>
              <w:bottom w:w="80" w:type="dxa"/>
              <w:end w:w="120" w:type="dxa"/>
            </w:tcMar>
            <w:shd w:fill="F2F4F7"/>
          </w:tcPr>
          <w:p>
            <w:pPr>
              <w:spacing w:after="0" w:line="240" w:lineRule="auto"/>
            </w:pPr>
            <w:r>
              <w:rPr>
                <w:sz w:val="15"/>
              </w:rPr>
              <w:t>54.3</w:t>
            </w:r>
          </w:p>
        </w:tc>
        <w:tc>
          <w:tcPr>
            <w:tcW w:type="dxa" w:w="2131"/>
            <w:tcMar>
              <w:top w:w="80" w:type="dxa"/>
              <w:start w:w="120" w:type="dxa"/>
              <w:bottom w:w="80" w:type="dxa"/>
              <w:end w:w="120" w:type="dxa"/>
            </w:tcMar>
            <w:shd w:fill="F2F4F7"/>
          </w:tcPr>
          <w:p>
            <w:pPr>
              <w:spacing w:after="0" w:line="240" w:lineRule="auto"/>
            </w:pPr>
            <w:r>
              <w:rPr>
                <w:sz w:val="15"/>
              </w:rPr>
              <w:t>307 A / 340 B</w:t>
            </w:r>
          </w:p>
        </w:tc>
      </w:tr>
    </w:tbl>
    <w:p>
      <w:pPr>
        <w:spacing w:after="20"/>
      </w:pPr>
    </w:p>
    <w:p>
      <w:r>
        <w:t>The source table reported some A/B product sizes together in cells that do not apply to both reverse primers. The corrected product labels above associate SpA R/SeqA R with A and SpB R/SeqB R with B. Before a prospective run, each primer should be re-evaluated in G-Synth against the final recombinant plasmid and the laboratory's polymerase/buffer conditions.</w:t>
      </w:r>
    </w:p>
    <w:p>
      <w:pPr>
        <w:pStyle w:val="Heading1"/>
      </w:pPr>
      <w:r>
        <w:t>S7. Wet-laboratory PCR and colony-screening evidence</w:t>
      </w:r>
    </w:p>
    <w:p>
      <w:pPr>
        <w:keepNext/>
        <w:spacing w:before="80" w:after="40"/>
        <w:jc w:val="center"/>
      </w:pPr>
      <w:r>
        <w:drawing>
          <wp:inline xmlns:a="http://schemas.openxmlformats.org/drawingml/2006/main" xmlns:pic="http://schemas.openxmlformats.org/drawingml/2006/picture">
            <wp:extent cx="2069591" cy="2374391"/>
            <wp:docPr id="2" name="Picture 2" title="Figure_S3_Precloning_PCR" descr="PCR products obtained with insert-specific primers before cloning. SM, GeneRuler Express DNA Ladder; lanes 1–2, A insert; lanes 3–4, B insert."/>
            <wp:cNvGraphicFramePr>
              <a:graphicFrameLocks noChangeAspect="1"/>
            </wp:cNvGraphicFramePr>
            <a:graphic>
              <a:graphicData uri="http://schemas.openxmlformats.org/drawingml/2006/picture">
                <pic:pic>
                  <pic:nvPicPr>
                    <pic:cNvPr id="0" name="Figure_S3_Precloning_PCR.png"/>
                    <pic:cNvPicPr/>
                  </pic:nvPicPr>
                  <pic:blipFill>
                    <a:blip r:embed="rId12"/>
                    <a:stretch>
                      <a:fillRect/>
                    </a:stretch>
                  </pic:blipFill>
                  <pic:spPr>
                    <a:xfrm>
                      <a:off x="0" y="0"/>
                      <a:ext cx="2069591" cy="2374391"/>
                    </a:xfrm>
                    <a:prstGeom prst="rect"/>
                  </pic:spPr>
                </pic:pic>
              </a:graphicData>
            </a:graphic>
          </wp:inline>
        </w:drawing>
      </w:r>
    </w:p>
    <w:p>
      <w:pPr>
        <w:pStyle w:val="Caption"/>
      </w:pPr>
      <w:r>
        <w:t>Figure S3. PCR products obtained with insert-specific primers before cloning. SM, GeneRuler Express DNA Ladder; lanes 1–2, A insert; lanes 3–4, B insert.</w:t>
      </w:r>
    </w:p>
    <w:p>
      <w:pPr>
        <w:pStyle w:val="Caption"/>
        <w:spacing w:before="0" w:after="160"/>
      </w:pPr>
      <w:r>
        <w:rPr>
          <w:i/>
          <w:color w:val="5D6B78"/>
        </w:rPr>
        <w:t>Alt text: PCR products obtained with insert-specific primers before cloning. SM, GeneRuler Express DNA Ladder; lanes 1–2, A insert; lanes 3–4, B insert.</w:t>
      </w:r>
    </w:p>
    <w:p>
      <w:pPr>
        <w:keepNext/>
        <w:spacing w:before="80" w:after="40"/>
        <w:jc w:val="center"/>
      </w:pPr>
      <w:r>
        <w:drawing>
          <wp:inline xmlns:a="http://schemas.openxmlformats.org/drawingml/2006/main" xmlns:pic="http://schemas.openxmlformats.org/drawingml/2006/picture">
            <wp:extent cx="2481072" cy="3069336"/>
            <wp:docPr id="3" name="Picture 3" title="Figure_S4_Colony_PCR" descr="Colony-screening PCR. Lanes 1 and 3 are A and B products with insert-specific primers; lanes 2 and 4 are the corresponding products with T7 primers."/>
            <wp:cNvGraphicFramePr>
              <a:graphicFrameLocks noChangeAspect="1"/>
            </wp:cNvGraphicFramePr>
            <a:graphic>
              <a:graphicData uri="http://schemas.openxmlformats.org/drawingml/2006/picture">
                <pic:pic>
                  <pic:nvPicPr>
                    <pic:cNvPr id="0" name="Figure_S4_Colony_PCR.png"/>
                    <pic:cNvPicPr/>
                  </pic:nvPicPr>
                  <pic:blipFill>
                    <a:blip r:embed="rId13"/>
                    <a:stretch>
                      <a:fillRect/>
                    </a:stretch>
                  </pic:blipFill>
                  <pic:spPr>
                    <a:xfrm>
                      <a:off x="0" y="0"/>
                      <a:ext cx="2481072" cy="3069336"/>
                    </a:xfrm>
                    <a:prstGeom prst="rect"/>
                  </pic:spPr>
                </pic:pic>
              </a:graphicData>
            </a:graphic>
          </wp:inline>
        </w:drawing>
      </w:r>
    </w:p>
    <w:p>
      <w:pPr>
        <w:pStyle w:val="Caption"/>
      </w:pPr>
      <w:r>
        <w:t>Figure S4. Colony-screening PCR. Lanes 1 and 3 are A and B products with insert-specific primers; lanes 2 and 4 are the corresponding products with T7 primers.</w:t>
      </w:r>
    </w:p>
    <w:p>
      <w:pPr>
        <w:pStyle w:val="Caption"/>
        <w:spacing w:before="0" w:after="160"/>
      </w:pPr>
      <w:r>
        <w:rPr>
          <w:i/>
          <w:color w:val="5D6B78"/>
        </w:rPr>
        <w:t>Alt text: Colony-screening PCR. Lanes 1 and 3 are A and B products with insert-specific primers; lanes 2 and 4 are the corresponding products with T7 primers.</w:t>
      </w:r>
    </w:p>
    <w:p>
      <w:pPr>
        <w:pStyle w:val="Heading1"/>
      </w:pPr>
      <w:r>
        <w:t>S8. Sequencing evidence manifest</w:t>
      </w:r>
    </w:p>
    <w:p>
      <w:r>
        <w:t>The validation set is limited to A Forward Seq.ab1, A Reverse Seq.ab1, B Forward Seq.ab1 and B Reverse Seq.ab1. Their SHA-256 hashes are recorded in the evidence JSON; no other chromatogram contributes to any reported result. Each F/R pair was oriented and assembled before consensus coverage was evaluated. Consensus coverage, identity, bidirectional overlap and F/R agreement are the primary retrospective endpoints.</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1206"/>
        <w:gridCol w:w="1206"/>
        <w:gridCol w:w="1206"/>
        <w:gridCol w:w="1206"/>
        <w:gridCol w:w="1206"/>
        <w:gridCol w:w="1206"/>
        <w:gridCol w:w="1206"/>
        <w:gridCol w:w="1206"/>
      </w:tblGrid>
      <w:tr>
        <w:trPr>
          <w:tblHeader w:val="true"/>
        </w:trPr>
        <w:tc>
          <w:tcPr>
            <w:tcW w:type="dxa" w:w="648"/>
            <w:tcMar>
              <w:top w:w="80" w:type="dxa"/>
              <w:start w:w="120" w:type="dxa"/>
              <w:bottom w:w="80" w:type="dxa"/>
              <w:end w:w="120" w:type="dxa"/>
            </w:tcMar>
            <w:shd w:fill="12233F"/>
            <w:vAlign w:val="center"/>
          </w:tcPr>
          <w:p>
            <w:pPr>
              <w:spacing w:after="0"/>
            </w:pPr>
            <w:r>
              <w:rPr>
                <w:b/>
                <w:color w:val="FFFFFF"/>
                <w:sz w:val="15"/>
              </w:rPr>
              <w:t>Chain</w:t>
            </w:r>
          </w:p>
        </w:tc>
        <w:tc>
          <w:tcPr>
            <w:tcW w:type="dxa" w:w="893"/>
            <w:tcMar>
              <w:top w:w="80" w:type="dxa"/>
              <w:start w:w="120" w:type="dxa"/>
              <w:bottom w:w="80" w:type="dxa"/>
              <w:end w:w="120" w:type="dxa"/>
            </w:tcMar>
            <w:shd w:fill="12233F"/>
            <w:vAlign w:val="center"/>
          </w:tcPr>
          <w:p>
            <w:pPr>
              <w:spacing w:after="0"/>
            </w:pPr>
            <w:r>
              <w:rPr>
                <w:b/>
                <w:color w:val="FFFFFF"/>
                <w:sz w:val="15"/>
              </w:rPr>
              <w:t>Ref. bp</w:t>
            </w:r>
          </w:p>
        </w:tc>
        <w:tc>
          <w:tcPr>
            <w:tcW w:type="dxa" w:w="1238"/>
            <w:tcMar>
              <w:top w:w="80" w:type="dxa"/>
              <w:start w:w="120" w:type="dxa"/>
              <w:bottom w:w="80" w:type="dxa"/>
              <w:end w:w="120" w:type="dxa"/>
            </w:tcMar>
            <w:shd w:fill="12233F"/>
            <w:vAlign w:val="center"/>
          </w:tcPr>
          <w:p>
            <w:pPr>
              <w:spacing w:after="0"/>
            </w:pPr>
            <w:r>
              <w:rPr>
                <w:b/>
                <w:color w:val="FFFFFF"/>
                <w:sz w:val="15"/>
              </w:rPr>
              <w:t>Consensus cov.</w:t>
            </w:r>
          </w:p>
        </w:tc>
        <w:tc>
          <w:tcPr>
            <w:tcW w:type="dxa" w:w="1037"/>
            <w:tcMar>
              <w:top w:w="80" w:type="dxa"/>
              <w:start w:w="120" w:type="dxa"/>
              <w:bottom w:w="80" w:type="dxa"/>
              <w:end w:w="120" w:type="dxa"/>
            </w:tcMar>
            <w:shd w:fill="12233F"/>
            <w:vAlign w:val="center"/>
          </w:tcPr>
          <w:p>
            <w:pPr>
              <w:spacing w:after="0"/>
            </w:pPr>
            <w:r>
              <w:rPr>
                <w:b/>
                <w:color w:val="FFFFFF"/>
                <w:sz w:val="15"/>
              </w:rPr>
              <w:t>Identity</w:t>
            </w:r>
          </w:p>
        </w:tc>
        <w:tc>
          <w:tcPr>
            <w:tcW w:type="dxa" w:w="1123"/>
            <w:tcMar>
              <w:top w:w="80" w:type="dxa"/>
              <w:start w:w="120" w:type="dxa"/>
              <w:bottom w:w="80" w:type="dxa"/>
              <w:end w:w="120" w:type="dxa"/>
            </w:tcMar>
            <w:shd w:fill="12233F"/>
            <w:vAlign w:val="center"/>
          </w:tcPr>
          <w:p>
            <w:pPr>
              <w:spacing w:after="0"/>
            </w:pPr>
            <w:r>
              <w:rPr>
                <w:b/>
                <w:color w:val="FFFFFF"/>
                <w:sz w:val="15"/>
              </w:rPr>
              <w:t>F/R overlap</w:t>
            </w:r>
          </w:p>
        </w:tc>
        <w:tc>
          <w:tcPr>
            <w:tcW w:type="dxa" w:w="1123"/>
            <w:tcMar>
              <w:top w:w="80" w:type="dxa"/>
              <w:start w:w="120" w:type="dxa"/>
              <w:bottom w:w="80" w:type="dxa"/>
              <w:end w:w="120" w:type="dxa"/>
            </w:tcMar>
            <w:shd w:fill="12233F"/>
            <w:vAlign w:val="center"/>
          </w:tcPr>
          <w:p>
            <w:pPr>
              <w:spacing w:after="0"/>
            </w:pPr>
            <w:r>
              <w:rPr>
                <w:b/>
                <w:color w:val="FFFFFF"/>
                <w:sz w:val="15"/>
              </w:rPr>
              <w:t>F/R agree</w:t>
            </w:r>
          </w:p>
        </w:tc>
        <w:tc>
          <w:tcPr>
            <w:tcW w:type="dxa" w:w="1181"/>
            <w:tcMar>
              <w:top w:w="80" w:type="dxa"/>
              <w:start w:w="120" w:type="dxa"/>
              <w:bottom w:w="80" w:type="dxa"/>
              <w:end w:w="120" w:type="dxa"/>
            </w:tcMar>
            <w:shd w:fill="12233F"/>
            <w:vAlign w:val="center"/>
          </w:tcPr>
          <w:p>
            <w:pPr>
              <w:spacing w:after="0"/>
            </w:pPr>
            <w:r>
              <w:rPr>
                <w:b/>
                <w:color w:val="FFFFFF"/>
                <w:sz w:val="15"/>
              </w:rPr>
              <w:t>Consensus diff.</w:t>
            </w:r>
          </w:p>
        </w:tc>
        <w:tc>
          <w:tcPr>
            <w:tcW w:type="dxa" w:w="1267"/>
            <w:tcMar>
              <w:top w:w="80" w:type="dxa"/>
              <w:start w:w="120" w:type="dxa"/>
              <w:bottom w:w="80" w:type="dxa"/>
              <w:end w:w="120" w:type="dxa"/>
            </w:tcMar>
            <w:shd w:fill="12233F"/>
            <w:vAlign w:val="center"/>
          </w:tcPr>
          <w:p>
            <w:pPr>
              <w:spacing w:after="0"/>
            </w:pPr>
            <w:r>
              <w:rPr>
                <w:b/>
                <w:color w:val="FFFFFF"/>
                <w:sz w:val="15"/>
              </w:rPr>
              <w:t>Biopython cov.</w:t>
            </w:r>
          </w:p>
        </w:tc>
      </w:tr>
      <w:tr>
        <w:trPr>
          <w:cantSplit/>
        </w:trPr>
        <w:tc>
          <w:tcPr>
            <w:tcW w:type="dxa" w:w="648"/>
            <w:tcMar>
              <w:top w:w="80" w:type="dxa"/>
              <w:start w:w="120" w:type="dxa"/>
              <w:bottom w:w="80" w:type="dxa"/>
              <w:end w:w="120" w:type="dxa"/>
            </w:tcMar>
          </w:tcPr>
          <w:p>
            <w:pPr>
              <w:spacing w:after="0" w:line="240" w:lineRule="auto"/>
            </w:pPr>
            <w:r>
              <w:rPr>
                <w:sz w:val="15"/>
              </w:rPr>
              <w:t>A</w:t>
            </w:r>
          </w:p>
        </w:tc>
        <w:tc>
          <w:tcPr>
            <w:tcW w:type="dxa" w:w="893"/>
            <w:tcMar>
              <w:top w:w="80" w:type="dxa"/>
              <w:start w:w="120" w:type="dxa"/>
              <w:bottom w:w="80" w:type="dxa"/>
              <w:end w:w="120" w:type="dxa"/>
            </w:tcMar>
          </w:tcPr>
          <w:p>
            <w:pPr>
              <w:spacing w:after="0" w:line="240" w:lineRule="auto"/>
            </w:pPr>
            <w:r>
              <w:rPr>
                <w:sz w:val="15"/>
              </w:rPr>
              <w:t>123</w:t>
            </w:r>
          </w:p>
        </w:tc>
        <w:tc>
          <w:tcPr>
            <w:tcW w:type="dxa" w:w="1238"/>
            <w:tcMar>
              <w:top w:w="80" w:type="dxa"/>
              <w:start w:w="120" w:type="dxa"/>
              <w:bottom w:w="80" w:type="dxa"/>
              <w:end w:w="120" w:type="dxa"/>
            </w:tcMar>
          </w:tcPr>
          <w:p>
            <w:pPr>
              <w:spacing w:after="0" w:line="240" w:lineRule="auto"/>
            </w:pPr>
            <w:r>
              <w:rPr>
                <w:sz w:val="15"/>
              </w:rPr>
              <w:t>100.0%</w:t>
            </w:r>
          </w:p>
        </w:tc>
        <w:tc>
          <w:tcPr>
            <w:tcW w:type="dxa" w:w="1037"/>
            <w:tcMar>
              <w:top w:w="80" w:type="dxa"/>
              <w:start w:w="120" w:type="dxa"/>
              <w:bottom w:w="80" w:type="dxa"/>
              <w:end w:w="120" w:type="dxa"/>
            </w:tcMar>
          </w:tcPr>
          <w:p>
            <w:pPr>
              <w:spacing w:after="0" w:line="240" w:lineRule="auto"/>
            </w:pPr>
            <w:r>
              <w:rPr>
                <w:sz w:val="15"/>
              </w:rPr>
              <w:t>100.0%</w:t>
            </w:r>
          </w:p>
        </w:tc>
        <w:tc>
          <w:tcPr>
            <w:tcW w:type="dxa" w:w="1123"/>
            <w:tcMar>
              <w:top w:w="80" w:type="dxa"/>
              <w:start w:w="120" w:type="dxa"/>
              <w:bottom w:w="80" w:type="dxa"/>
              <w:end w:w="120" w:type="dxa"/>
            </w:tcMar>
          </w:tcPr>
          <w:p>
            <w:pPr>
              <w:spacing w:after="0" w:line="240" w:lineRule="auto"/>
            </w:pPr>
            <w:r>
              <w:rPr>
                <w:sz w:val="15"/>
              </w:rPr>
              <w:t>56.1%</w:t>
            </w:r>
          </w:p>
        </w:tc>
        <w:tc>
          <w:tcPr>
            <w:tcW w:type="dxa" w:w="1123"/>
            <w:tcMar>
              <w:top w:w="80" w:type="dxa"/>
              <w:start w:w="120" w:type="dxa"/>
              <w:bottom w:w="80" w:type="dxa"/>
              <w:end w:w="120" w:type="dxa"/>
            </w:tcMar>
          </w:tcPr>
          <w:p>
            <w:pPr>
              <w:spacing w:after="0" w:line="240" w:lineRule="auto"/>
            </w:pPr>
            <w:r>
              <w:rPr>
                <w:sz w:val="15"/>
              </w:rPr>
              <w:t>100.0%</w:t>
            </w:r>
          </w:p>
        </w:tc>
        <w:tc>
          <w:tcPr>
            <w:tcW w:type="dxa" w:w="1181"/>
            <w:tcMar>
              <w:top w:w="80" w:type="dxa"/>
              <w:start w:w="120" w:type="dxa"/>
              <w:bottom w:w="80" w:type="dxa"/>
              <w:end w:w="120" w:type="dxa"/>
            </w:tcMar>
          </w:tcPr>
          <w:p>
            <w:pPr>
              <w:spacing w:after="0" w:line="240" w:lineRule="auto"/>
            </w:pPr>
            <w:r>
              <w:rPr>
                <w:sz w:val="15"/>
              </w:rPr>
              <w:t>0</w:t>
            </w:r>
          </w:p>
        </w:tc>
        <w:tc>
          <w:tcPr>
            <w:tcW w:type="dxa" w:w="1267"/>
            <w:tcMar>
              <w:top w:w="80" w:type="dxa"/>
              <w:start w:w="120" w:type="dxa"/>
              <w:bottom w:w="80" w:type="dxa"/>
              <w:end w:w="120" w:type="dxa"/>
            </w:tcMar>
          </w:tcPr>
          <w:p>
            <w:pPr>
              <w:spacing w:after="0" w:line="240" w:lineRule="auto"/>
            </w:pPr>
            <w:r>
              <w:rPr>
                <w:sz w:val="15"/>
              </w:rPr>
              <w:t>100.0%</w:t>
            </w:r>
          </w:p>
        </w:tc>
      </w:tr>
      <w:tr>
        <w:trPr>
          <w:cantSplit/>
        </w:trPr>
        <w:tc>
          <w:tcPr>
            <w:tcW w:type="dxa" w:w="648"/>
            <w:tcMar>
              <w:top w:w="80" w:type="dxa"/>
              <w:start w:w="120" w:type="dxa"/>
              <w:bottom w:w="80" w:type="dxa"/>
              <w:end w:w="120" w:type="dxa"/>
            </w:tcMar>
            <w:shd w:fill="F2F4F7"/>
          </w:tcPr>
          <w:p>
            <w:pPr>
              <w:spacing w:after="0" w:line="240" w:lineRule="auto"/>
            </w:pPr>
            <w:r>
              <w:rPr>
                <w:sz w:val="15"/>
              </w:rPr>
              <w:t>B</w:t>
            </w:r>
          </w:p>
        </w:tc>
        <w:tc>
          <w:tcPr>
            <w:tcW w:type="dxa" w:w="893"/>
            <w:tcMar>
              <w:top w:w="80" w:type="dxa"/>
              <w:start w:w="120" w:type="dxa"/>
              <w:bottom w:w="80" w:type="dxa"/>
              <w:end w:w="120" w:type="dxa"/>
            </w:tcMar>
            <w:shd w:fill="F2F4F7"/>
          </w:tcPr>
          <w:p>
            <w:pPr>
              <w:spacing w:after="0" w:line="240" w:lineRule="auto"/>
            </w:pPr>
            <w:r>
              <w:rPr>
                <w:sz w:val="15"/>
              </w:rPr>
              <w:t>156</w:t>
            </w:r>
          </w:p>
        </w:tc>
        <w:tc>
          <w:tcPr>
            <w:tcW w:type="dxa" w:w="1238"/>
            <w:tcMar>
              <w:top w:w="80" w:type="dxa"/>
              <w:start w:w="120" w:type="dxa"/>
              <w:bottom w:w="80" w:type="dxa"/>
              <w:end w:w="120" w:type="dxa"/>
            </w:tcMar>
            <w:shd w:fill="F2F4F7"/>
          </w:tcPr>
          <w:p>
            <w:pPr>
              <w:spacing w:after="0" w:line="240" w:lineRule="auto"/>
            </w:pPr>
            <w:r>
              <w:rPr>
                <w:sz w:val="15"/>
              </w:rPr>
              <w:t>100.0%</w:t>
            </w:r>
          </w:p>
        </w:tc>
        <w:tc>
          <w:tcPr>
            <w:tcW w:type="dxa" w:w="1037"/>
            <w:tcMar>
              <w:top w:w="80" w:type="dxa"/>
              <w:start w:w="120" w:type="dxa"/>
              <w:bottom w:w="80" w:type="dxa"/>
              <w:end w:w="120" w:type="dxa"/>
            </w:tcMar>
            <w:shd w:fill="F2F4F7"/>
          </w:tcPr>
          <w:p>
            <w:pPr>
              <w:spacing w:after="0" w:line="240" w:lineRule="auto"/>
            </w:pPr>
            <w:r>
              <w:rPr>
                <w:sz w:val="15"/>
              </w:rPr>
              <w:t>100.0%</w:t>
            </w:r>
          </w:p>
        </w:tc>
        <w:tc>
          <w:tcPr>
            <w:tcW w:type="dxa" w:w="1123"/>
            <w:tcMar>
              <w:top w:w="80" w:type="dxa"/>
              <w:start w:w="120" w:type="dxa"/>
              <w:bottom w:w="80" w:type="dxa"/>
              <w:end w:w="120" w:type="dxa"/>
            </w:tcMar>
            <w:shd w:fill="F2F4F7"/>
          </w:tcPr>
          <w:p>
            <w:pPr>
              <w:spacing w:after="0" w:line="240" w:lineRule="auto"/>
            </w:pPr>
            <w:r>
              <w:rPr>
                <w:sz w:val="15"/>
              </w:rPr>
              <w:t>71.2%</w:t>
            </w:r>
          </w:p>
        </w:tc>
        <w:tc>
          <w:tcPr>
            <w:tcW w:type="dxa" w:w="1123"/>
            <w:tcMar>
              <w:top w:w="80" w:type="dxa"/>
              <w:start w:w="120" w:type="dxa"/>
              <w:bottom w:w="80" w:type="dxa"/>
              <w:end w:w="120" w:type="dxa"/>
            </w:tcMar>
            <w:shd w:fill="F2F4F7"/>
          </w:tcPr>
          <w:p>
            <w:pPr>
              <w:spacing w:after="0" w:line="240" w:lineRule="auto"/>
            </w:pPr>
            <w:r>
              <w:rPr>
                <w:sz w:val="15"/>
              </w:rPr>
              <w:t>100.0%</w:t>
            </w:r>
          </w:p>
        </w:tc>
        <w:tc>
          <w:tcPr>
            <w:tcW w:type="dxa" w:w="1181"/>
            <w:tcMar>
              <w:top w:w="80" w:type="dxa"/>
              <w:start w:w="120" w:type="dxa"/>
              <w:bottom w:w="80" w:type="dxa"/>
              <w:end w:w="120" w:type="dxa"/>
            </w:tcMar>
            <w:shd w:fill="F2F4F7"/>
          </w:tcPr>
          <w:p>
            <w:pPr>
              <w:spacing w:after="0" w:line="240" w:lineRule="auto"/>
            </w:pPr>
            <w:r>
              <w:rPr>
                <w:sz w:val="15"/>
              </w:rPr>
              <w:t>0</w:t>
            </w:r>
          </w:p>
        </w:tc>
        <w:tc>
          <w:tcPr>
            <w:tcW w:type="dxa" w:w="1267"/>
            <w:tcMar>
              <w:top w:w="80" w:type="dxa"/>
              <w:start w:w="120" w:type="dxa"/>
              <w:bottom w:w="80" w:type="dxa"/>
              <w:end w:w="120" w:type="dxa"/>
            </w:tcMar>
            <w:shd w:fill="F2F4F7"/>
          </w:tcPr>
          <w:p>
            <w:pPr>
              <w:spacing w:after="0" w:line="240" w:lineRule="auto"/>
            </w:pPr>
            <w:r>
              <w:rPr>
                <w:sz w:val="15"/>
              </w:rPr>
              <w:t>100.0%</w:t>
            </w:r>
          </w:p>
        </w:tc>
      </w:tr>
    </w:tbl>
    <w:p>
      <w:pPr>
        <w:spacing w:after="20"/>
      </w:pPr>
    </w:p>
    <w:p>
      <w:pPr>
        <w:keepNext/>
        <w:spacing w:before="80" w:after="40"/>
        <w:jc w:val="center"/>
      </w:pPr>
      <w:r>
        <w:drawing>
          <wp:inline xmlns:a="http://schemas.openxmlformats.org/drawingml/2006/main" xmlns:pic="http://schemas.openxmlformats.org/drawingml/2006/picture">
            <wp:extent cx="6035040" cy="4626864"/>
            <wp:docPr id="4" name="Picture 4" title="Figure_GSynth_Sanger_Approved_Traces" descr="Primary G-Synth F/R consensus evidence map. The two oriented reads jointly cover each reference completely; green shading marks bidirectional overlap, with 100% agreement in both constructs."/>
            <wp:cNvGraphicFramePr>
              <a:graphicFrameLocks noChangeAspect="1"/>
            </wp:cNvGraphicFramePr>
            <a:graphic>
              <a:graphicData uri="http://schemas.openxmlformats.org/drawingml/2006/picture">
                <pic:pic>
                  <pic:nvPicPr>
                    <pic:cNvPr id="0" name="Figure_GSynth_Sanger_Approved_Traces.png"/>
                    <pic:cNvPicPr/>
                  </pic:nvPicPr>
                  <pic:blipFill>
                    <a:blip r:embed="rId14"/>
                    <a:stretch>
                      <a:fillRect/>
                    </a:stretch>
                  </pic:blipFill>
                  <pic:spPr>
                    <a:xfrm>
                      <a:off x="0" y="0"/>
                      <a:ext cx="6035040" cy="4626864"/>
                    </a:xfrm>
                    <a:prstGeom prst="rect"/>
                  </pic:spPr>
                </pic:pic>
              </a:graphicData>
            </a:graphic>
          </wp:inline>
        </w:drawing>
      </w:r>
    </w:p>
    <w:p>
      <w:pPr>
        <w:pStyle w:val="Caption"/>
      </w:pPr>
      <w:r>
        <w:t>Figure S5. Primary G-Synth F/R consensus evidence map. The two oriented reads jointly cover each reference completely; green shading marks bidirectional overlap, with 100% agreement in both constructs.</w:t>
      </w:r>
    </w:p>
    <w:p>
      <w:pPr>
        <w:pStyle w:val="Caption"/>
        <w:spacing w:before="0" w:after="160"/>
      </w:pPr>
      <w:r>
        <w:rPr>
          <w:i/>
          <w:color w:val="5D6B78"/>
        </w:rPr>
        <w:t>Alt text: Primary G-Synth F/R consensus evidence map. The two oriented reads jointly cover each reference completely; green shading marks bidirectional overlap, with 100% agreement in both constructs.</w:t>
      </w:r>
    </w:p>
    <w:p>
      <w:pPr>
        <w:pStyle w:val="Heading1"/>
      </w:pPr>
      <w:r>
        <w:t>S9. Supplementary interface evidence</w:t>
      </w:r>
    </w:p>
    <w:p>
      <w:pPr>
        <w:keepNext/>
        <w:spacing w:before="80" w:after="40"/>
        <w:jc w:val="center"/>
      </w:pPr>
      <w:r>
        <w:drawing>
          <wp:inline xmlns:a="http://schemas.openxmlformats.org/drawingml/2006/main" xmlns:pic="http://schemas.openxmlformats.org/drawingml/2006/picture">
            <wp:extent cx="1594104" cy="2069592"/>
            <wp:docPr id="5" name="Picture 5" title="Primer_Hybridization" descr="Primer–template hybridization view. The annealing 3′ segment is base-paired; the 5′ cloning extension is explicitly unpaired in cycle 1 and appears in the predicted product after extension."/>
            <wp:cNvGraphicFramePr>
              <a:graphicFrameLocks noChangeAspect="1"/>
            </wp:cNvGraphicFramePr>
            <a:graphic>
              <a:graphicData uri="http://schemas.openxmlformats.org/drawingml/2006/picture">
                <pic:pic>
                  <pic:nvPicPr>
                    <pic:cNvPr id="0" name="Primer_Hybridization.jpg"/>
                    <pic:cNvPicPr/>
                  </pic:nvPicPr>
                  <pic:blipFill>
                    <a:blip r:embed="rId15"/>
                    <a:stretch>
                      <a:fillRect/>
                    </a:stretch>
                  </pic:blipFill>
                  <pic:spPr>
                    <a:xfrm>
                      <a:off x="0" y="0"/>
                      <a:ext cx="1594104" cy="2069592"/>
                    </a:xfrm>
                    <a:prstGeom prst="rect"/>
                  </pic:spPr>
                </pic:pic>
              </a:graphicData>
            </a:graphic>
          </wp:inline>
        </w:drawing>
      </w:r>
    </w:p>
    <w:p>
      <w:pPr>
        <w:pStyle w:val="Caption"/>
      </w:pPr>
      <w:r>
        <w:t>Figure S6. Primer–template hybridization view. The annealing 3′ segment is base-paired; the 5′ cloning extension is explicitly unpaired in cycle 1 and appears in the predicted product after extension.</w:t>
      </w:r>
    </w:p>
    <w:p>
      <w:pPr>
        <w:pStyle w:val="Caption"/>
        <w:spacing w:before="0" w:after="160"/>
      </w:pPr>
      <w:r>
        <w:rPr>
          <w:i/>
          <w:color w:val="5D6B78"/>
        </w:rPr>
        <w:t>Alt text: Primer–template hybridization view. The annealing 3′ segment is base-paired; the 5′ cloning extension is explicitly unpaired in cycle 1 and appears in the predicted product after extension.</w:t>
      </w:r>
    </w:p>
    <w:p>
      <w:pPr>
        <w:keepNext/>
        <w:spacing w:before="80" w:after="40"/>
        <w:jc w:val="center"/>
      </w:pPr>
      <w:r>
        <w:drawing>
          <wp:inline xmlns:a="http://schemas.openxmlformats.org/drawingml/2006/main" xmlns:pic="http://schemas.openxmlformats.org/drawingml/2006/picture">
            <wp:extent cx="5806440" cy="5468075"/>
            <wp:docPr id="6" name="Picture 6" title="Hybridization_Workflow" descr="Detailed SSD duplex hybridization. The two order molecules form a 123-bp exact antiparallel core; the NdeI-derived 5′-TA and XhoI-derived 5′-TCGA terminal products remain exposed and are labelled as cohesive ends."/>
            <wp:cNvGraphicFramePr>
              <a:graphicFrameLocks noChangeAspect="1"/>
            </wp:cNvGraphicFramePr>
            <a:graphic>
              <a:graphicData uri="http://schemas.openxmlformats.org/drawingml/2006/picture">
                <pic:pic>
                  <pic:nvPicPr>
                    <pic:cNvPr id="0" name="Hybridization_Workflow.jpg"/>
                    <pic:cNvPicPr/>
                  </pic:nvPicPr>
                  <pic:blipFill>
                    <a:blip r:embed="rId16"/>
                    <a:stretch>
                      <a:fillRect/>
                    </a:stretch>
                  </pic:blipFill>
                  <pic:spPr>
                    <a:xfrm>
                      <a:off x="0" y="0"/>
                      <a:ext cx="5806440" cy="5468075"/>
                    </a:xfrm>
                    <a:prstGeom prst="rect"/>
                  </pic:spPr>
                </pic:pic>
              </a:graphicData>
            </a:graphic>
          </wp:inline>
        </w:drawing>
      </w:r>
    </w:p>
    <w:p>
      <w:pPr>
        <w:pStyle w:val="Caption"/>
      </w:pPr>
      <w:r>
        <w:t>Figure S7. Detailed SSD duplex hybridization. The two order molecules form a 123-bp exact antiparallel core; the NdeI-derived 5′-TA and XhoI-derived 5′-TCGA terminal products remain exposed and are labelled as cohesive ends.</w:t>
      </w:r>
    </w:p>
    <w:p>
      <w:pPr>
        <w:pStyle w:val="Caption"/>
        <w:spacing w:before="0" w:after="160"/>
      </w:pPr>
      <w:r>
        <w:rPr>
          <w:i/>
          <w:color w:val="5D6B78"/>
        </w:rPr>
        <w:t>Alt text: Detailed SSD duplex hybridization. The two order molecules form a 123-bp exact antiparallel core; the NdeI-derived 5′-TA and XhoI-derived 5′-TCGA terminal products remain exposed and are labelled as cohesive ends.</w:t>
      </w:r>
    </w:p>
    <w:p>
      <w:pPr>
        <w:keepNext/>
        <w:spacing w:before="80" w:after="40"/>
        <w:jc w:val="center"/>
      </w:pPr>
      <w:r>
        <w:drawing>
          <wp:inline xmlns:a="http://schemas.openxmlformats.org/drawingml/2006/main" xmlns:pic="http://schemas.openxmlformats.org/drawingml/2006/picture">
            <wp:extent cx="4922520" cy="3718560"/>
            <wp:docPr id="7" name="Picture 7" title="Cloning_PreLigation" descr="Pre-ligation vector–insert compatibility gate for the current glargine A design. The detailed view preserves enzyme identity, overhang sequence and physical polarity, and labels the joined duplex as an expected product while withholding product analyses."/>
            <wp:cNvGraphicFramePr>
              <a:graphicFrameLocks noChangeAspect="1"/>
            </wp:cNvGraphicFramePr>
            <a:graphic>
              <a:graphicData uri="http://schemas.openxmlformats.org/drawingml/2006/picture">
                <pic:pic>
                  <pic:nvPicPr>
                    <pic:cNvPr id="0" name="Cloning_PreLigation.jpg"/>
                    <pic:cNvPicPr/>
                  </pic:nvPicPr>
                  <pic:blipFill>
                    <a:blip r:embed="rId17"/>
                    <a:stretch>
                      <a:fillRect/>
                    </a:stretch>
                  </pic:blipFill>
                  <pic:spPr>
                    <a:xfrm>
                      <a:off x="0" y="0"/>
                      <a:ext cx="4922520" cy="3718560"/>
                    </a:xfrm>
                    <a:prstGeom prst="rect"/>
                  </pic:spPr>
                </pic:pic>
              </a:graphicData>
            </a:graphic>
          </wp:inline>
        </w:drawing>
      </w:r>
    </w:p>
    <w:p>
      <w:pPr>
        <w:pStyle w:val="Caption"/>
      </w:pPr>
      <w:r>
        <w:t>Figure S8. Pre-ligation vector–insert compatibility gate for the current glargine A design. The detailed view preserves enzyme identity, overhang sequence and physical polarity, and labels the joined duplex as an expected product while withholding product analyses.</w:t>
      </w:r>
    </w:p>
    <w:p>
      <w:pPr>
        <w:pStyle w:val="Caption"/>
        <w:spacing w:before="0" w:after="160"/>
      </w:pPr>
      <w:r>
        <w:rPr>
          <w:i/>
          <w:color w:val="5D6B78"/>
        </w:rPr>
        <w:t>Alt text: Pre-ligation vector–insert compatibility gate for the current glargine A design. The detailed view preserves enzyme identity, overhang sequence and physical polarity, and labels the joined duplex as an expected product while withholding product analyses.</w:t>
      </w:r>
    </w:p>
    <w:p>
      <w:pPr>
        <w:keepNext/>
        <w:spacing w:before="80" w:after="40"/>
        <w:jc w:val="center"/>
      </w:pPr>
      <w:r>
        <w:drawing>
          <wp:inline xmlns:a="http://schemas.openxmlformats.org/drawingml/2006/main" xmlns:pic="http://schemas.openxmlformats.org/drawingml/2006/picture">
            <wp:extent cx="4922520" cy="3718560"/>
            <wp:docPr id="8" name="Picture 8" title="Cloning_Ligated_Product" descr="Product state after explicit in-silico ligation. The green status region reports the recombinant length and presents close-up sequence evidence for both closed junctions only after all blocking checks have passed."/>
            <wp:cNvGraphicFramePr>
              <a:graphicFrameLocks noChangeAspect="1"/>
            </wp:cNvGraphicFramePr>
            <a:graphic>
              <a:graphicData uri="http://schemas.openxmlformats.org/drawingml/2006/picture">
                <pic:pic>
                  <pic:nvPicPr>
                    <pic:cNvPr id="0" name="Cloning_Ligated_Product.jpg"/>
                    <pic:cNvPicPr/>
                  </pic:nvPicPr>
                  <pic:blipFill>
                    <a:blip r:embed="rId18"/>
                    <a:stretch>
                      <a:fillRect/>
                    </a:stretch>
                  </pic:blipFill>
                  <pic:spPr>
                    <a:xfrm>
                      <a:off x="0" y="0"/>
                      <a:ext cx="4922520" cy="3718560"/>
                    </a:xfrm>
                    <a:prstGeom prst="rect"/>
                  </pic:spPr>
                </pic:pic>
              </a:graphicData>
            </a:graphic>
          </wp:inline>
        </w:drawing>
      </w:r>
    </w:p>
    <w:p>
      <w:pPr>
        <w:pStyle w:val="Caption"/>
      </w:pPr>
      <w:r>
        <w:t>Figure S9. Product state after explicit in-silico ligation. The green status region reports the recombinant length and presents close-up sequence evidence for both closed junctions only after all blocking checks have passed.</w:t>
      </w:r>
    </w:p>
    <w:p>
      <w:pPr>
        <w:pStyle w:val="Caption"/>
        <w:spacing w:before="0" w:after="160"/>
      </w:pPr>
      <w:r>
        <w:rPr>
          <w:i/>
          <w:color w:val="5D6B78"/>
        </w:rPr>
        <w:t>Alt text: Product state after explicit in-silico ligation. The green status region reports the recombinant length and presents close-up sequence evidence for both closed junctions only after all blocking checks have passed.</w:t>
      </w:r>
    </w:p>
    <w:p>
      <w:pPr>
        <w:keepNext/>
        <w:spacing w:before="80" w:after="40"/>
        <w:jc w:val="center"/>
      </w:pPr>
      <w:r>
        <w:drawing>
          <wp:inline xmlns:a="http://schemas.openxmlformats.org/drawingml/2006/main" xmlns:pic="http://schemas.openxmlformats.org/drawingml/2006/picture">
            <wp:extent cx="2246376" cy="1725168"/>
            <wp:docPr id="9" name="Picture 9" title="HindIII_Diagnostic_Gel" descr="HindIII-containing diagnostic digest and predicted gel. The restriction site and complete digest fragments are displayed with a named broad-range marker. The panel is labelled as an in-silico prediction."/>
            <wp:cNvGraphicFramePr>
              <a:graphicFrameLocks noChangeAspect="1"/>
            </wp:cNvGraphicFramePr>
            <a:graphic>
              <a:graphicData uri="http://schemas.openxmlformats.org/drawingml/2006/picture">
                <pic:pic>
                  <pic:nvPicPr>
                    <pic:cNvPr id="0" name="HindIII_Diagnostic_Gel.jpg"/>
                    <pic:cNvPicPr/>
                  </pic:nvPicPr>
                  <pic:blipFill>
                    <a:blip r:embed="rId19"/>
                    <a:stretch>
                      <a:fillRect/>
                    </a:stretch>
                  </pic:blipFill>
                  <pic:spPr>
                    <a:xfrm>
                      <a:off x="0" y="0"/>
                      <a:ext cx="2246376" cy="1725168"/>
                    </a:xfrm>
                    <a:prstGeom prst="rect"/>
                  </pic:spPr>
                </pic:pic>
              </a:graphicData>
            </a:graphic>
          </wp:inline>
        </w:drawing>
      </w:r>
    </w:p>
    <w:p>
      <w:pPr>
        <w:pStyle w:val="Caption"/>
      </w:pPr>
      <w:r>
        <w:t>Figure S10. HindIII-containing diagnostic digest and predicted gel. The restriction site and complete digest fragments are displayed with a named broad-range marker. The panel is labelled as an in-silico prediction.</w:t>
      </w:r>
    </w:p>
    <w:p>
      <w:pPr>
        <w:pStyle w:val="Caption"/>
        <w:spacing w:before="0" w:after="160"/>
      </w:pPr>
      <w:r>
        <w:rPr>
          <w:i/>
          <w:color w:val="5D6B78"/>
        </w:rPr>
        <w:t>Alt text: HindIII-containing diagnostic digest and predicted gel. The restriction site and complete digest fragments are displayed with a named broad-range marker. The panel is labelled as an in-silico prediction.</w:t>
      </w:r>
    </w:p>
    <w:p>
      <w:pPr>
        <w:keepNext/>
        <w:spacing w:before="80" w:after="40"/>
        <w:jc w:val="center"/>
      </w:pPr>
      <w:r>
        <w:drawing>
          <wp:inline xmlns:a="http://schemas.openxmlformats.org/drawingml/2006/main" xmlns:pic="http://schemas.openxmlformats.org/drawingml/2006/picture">
            <wp:extent cx="2246376" cy="3081528"/>
            <wp:docPr id="10" name="Picture 10" title="HindIII_Restriction_Map" descr="Restriction map showing HindIII as a named site derived from cut geometry."/>
            <wp:cNvGraphicFramePr>
              <a:graphicFrameLocks noChangeAspect="1"/>
            </wp:cNvGraphicFramePr>
            <a:graphic>
              <a:graphicData uri="http://schemas.openxmlformats.org/drawingml/2006/picture">
                <pic:pic>
                  <pic:nvPicPr>
                    <pic:cNvPr id="0" name="HindIII_Restriction_Map.jpg"/>
                    <pic:cNvPicPr/>
                  </pic:nvPicPr>
                  <pic:blipFill>
                    <a:blip r:embed="rId20"/>
                    <a:stretch>
                      <a:fillRect/>
                    </a:stretch>
                  </pic:blipFill>
                  <pic:spPr>
                    <a:xfrm>
                      <a:off x="0" y="0"/>
                      <a:ext cx="2246376" cy="3081528"/>
                    </a:xfrm>
                    <a:prstGeom prst="rect"/>
                  </pic:spPr>
                </pic:pic>
              </a:graphicData>
            </a:graphic>
          </wp:inline>
        </w:drawing>
      </w:r>
    </w:p>
    <w:p>
      <w:pPr>
        <w:pStyle w:val="Caption"/>
      </w:pPr>
      <w:r>
        <w:t>Figure S11. Restriction map showing HindIII as a named site derived from cut geometry.</w:t>
      </w:r>
    </w:p>
    <w:p>
      <w:pPr>
        <w:pStyle w:val="Caption"/>
        <w:spacing w:before="0" w:after="160"/>
      </w:pPr>
      <w:r>
        <w:rPr>
          <w:i/>
          <w:color w:val="5D6B78"/>
        </w:rPr>
        <w:t>Alt text: Restriction map showing HindIII as a named site derived from cut geometry.</w:t>
      </w:r>
    </w:p>
    <w:p>
      <w:pPr>
        <w:pStyle w:val="Heading1"/>
      </w:pPr>
      <w:r>
        <w:t>S10. Secondary Geneious comparison and independent confirmation</w:t>
      </w:r>
    </w:p>
    <w:p>
      <w:r>
        <w:t>The source experimental study used Benchling for reverse complements and Geneious Prime 2024.0.7 for cloning views and trace alignments. G-Synth independently regenerated the same four synthesis molecules from the two optimized coding inputs, and its recombinant maps placed the inserts downstream of the pET-21a(+) T7/lac expression elements with preserved coding frames. The Geneious figures and G-Synth therefore agree qualitatively on construct identity and placement. A new automated Geneious run was not performed because the reproducibility environment did not include a licensed command-line execution path. Biopython 1.87 was used as the independent, executable alignment comparator.</w:t>
      </w:r>
    </w:p>
    <w:p>
      <w:r>
        <w:t>A prospective head-to-head study should freeze one set of reference plasmids and raw trace files, define identical trimming thresholds and variant rules, blind sample labels, and compare: read placement; orientation calls; covered intervals; mismatches/indels; consensus; runtime; manual interventions; exportability; and final verdict. The present study is a functional cross-check, not a statistical superiority benchmark.</w:t>
      </w:r>
    </w:p>
    <w:p>
      <w:pPr>
        <w:keepNext/>
        <w:spacing w:before="80" w:after="40"/>
        <w:jc w:val="center"/>
      </w:pPr>
      <w:r>
        <w:drawing>
          <wp:inline xmlns:a="http://schemas.openxmlformats.org/drawingml/2006/main" xmlns:pic="http://schemas.openxmlformats.org/drawingml/2006/picture">
            <wp:extent cx="5967984" cy="5870448"/>
            <wp:docPr id="11" name="Picture 11" title="Figure_S6_Geneious_Duplex_Secondary_Comparison" descr="Geneious Prime 2024.0.7 duplex representation of NdeI/XhoI-compatible A- and B-chain inserts from the experimental study. This is secondary qualitative concordance; G-Synth SSD is the primary in-silico reconstruction."/>
            <wp:cNvGraphicFramePr>
              <a:graphicFrameLocks noChangeAspect="1"/>
            </wp:cNvGraphicFramePr>
            <a:graphic>
              <a:graphicData uri="http://schemas.openxmlformats.org/drawingml/2006/picture">
                <pic:pic>
                  <pic:nvPicPr>
                    <pic:cNvPr id="0" name="Figure_S6_Geneious_Duplex_Secondary_Comparison.png"/>
                    <pic:cNvPicPr/>
                  </pic:nvPicPr>
                  <pic:blipFill>
                    <a:blip r:embed="rId21"/>
                    <a:stretch>
                      <a:fillRect/>
                    </a:stretch>
                  </pic:blipFill>
                  <pic:spPr>
                    <a:xfrm>
                      <a:off x="0" y="0"/>
                      <a:ext cx="5967984" cy="5870448"/>
                    </a:xfrm>
                    <a:prstGeom prst="rect"/>
                  </pic:spPr>
                </pic:pic>
              </a:graphicData>
            </a:graphic>
          </wp:inline>
        </w:drawing>
      </w:r>
    </w:p>
    <w:p>
      <w:pPr>
        <w:pStyle w:val="Caption"/>
      </w:pPr>
      <w:r>
        <w:t>Figure S12. Geneious Prime 2024.0.7 duplex representation of NdeI/XhoI-compatible A- and B-chain inserts from the experimental study. This is secondary qualitative concordance; G-Synth SSD is the primary in-silico reconstruction.</w:t>
      </w:r>
    </w:p>
    <w:p>
      <w:pPr>
        <w:pStyle w:val="Caption"/>
        <w:spacing w:before="0" w:after="160"/>
      </w:pPr>
      <w:r>
        <w:rPr>
          <w:i/>
          <w:color w:val="5D6B78"/>
        </w:rPr>
        <w:t>Alt text: Geneious Prime 2024.0.7 duplex representation of NdeI/XhoI-compatible A- and B-chain inserts from the experimental study. This is secondary qualitative concordance; G-Synth SSD is the primary in-silico reconstruction.</w:t>
      </w:r>
    </w:p>
    <w:p>
      <w:pPr>
        <w:keepNext/>
        <w:spacing w:before="80" w:after="40"/>
        <w:jc w:val="center"/>
      </w:pPr>
      <w:r>
        <w:drawing>
          <wp:inline xmlns:a="http://schemas.openxmlformats.org/drawingml/2006/main" xmlns:pic="http://schemas.openxmlformats.org/drawingml/2006/picture">
            <wp:extent cx="5955792" cy="6818376"/>
            <wp:docPr id="12" name="Picture 12" title="Figure_S7_Geneious_Annotation_Secondary_Comparison" descr="Geneious Prime construct annotation for the glargine A- and B-chain pET-21a(+) designs from the experimental study. G-Synth generated the primary coordinate, ORF and junction validation reported in the main article."/>
            <wp:cNvGraphicFramePr>
              <a:graphicFrameLocks noChangeAspect="1"/>
            </wp:cNvGraphicFramePr>
            <a:graphic>
              <a:graphicData uri="http://schemas.openxmlformats.org/drawingml/2006/picture">
                <pic:pic>
                  <pic:nvPicPr>
                    <pic:cNvPr id="0" name="Figure_S7_Geneious_Annotation_Secondary_Comparison.png"/>
                    <pic:cNvPicPr/>
                  </pic:nvPicPr>
                  <pic:blipFill>
                    <a:blip r:embed="rId22"/>
                    <a:stretch>
                      <a:fillRect/>
                    </a:stretch>
                  </pic:blipFill>
                  <pic:spPr>
                    <a:xfrm>
                      <a:off x="0" y="0"/>
                      <a:ext cx="5955792" cy="6818376"/>
                    </a:xfrm>
                    <a:prstGeom prst="rect"/>
                  </pic:spPr>
                </pic:pic>
              </a:graphicData>
            </a:graphic>
          </wp:inline>
        </w:drawing>
      </w:r>
    </w:p>
    <w:p>
      <w:pPr>
        <w:pStyle w:val="Caption"/>
      </w:pPr>
      <w:r>
        <w:t>Figure S13. Geneious Prime construct annotation for the glargine A- and B-chain pET-21a(+) designs from the experimental study. G-Synth generated the primary coordinate, ORF and junction validation reported in the main article.</w:t>
      </w:r>
    </w:p>
    <w:p>
      <w:pPr>
        <w:pStyle w:val="Caption"/>
        <w:spacing w:before="0" w:after="160"/>
      </w:pPr>
      <w:r>
        <w:rPr>
          <w:i/>
          <w:color w:val="5D6B78"/>
        </w:rPr>
        <w:t>Alt text: Geneious Prime construct annotation for the glargine A- and B-chain pET-21a(+) designs from the experimental study. G-Synth generated the primary coordinate, ORF and junction validation reported in the main article.</w:t>
      </w:r>
    </w:p>
    <w:p>
      <w:pPr>
        <w:keepNext/>
        <w:spacing w:before="80" w:after="40"/>
        <w:jc w:val="center"/>
      </w:pPr>
      <w:r>
        <w:drawing>
          <wp:inline xmlns:a="http://schemas.openxmlformats.org/drawingml/2006/main" xmlns:pic="http://schemas.openxmlformats.org/drawingml/2006/picture">
            <wp:extent cx="3480816" cy="3075432"/>
            <wp:docPr id="13" name="Picture 13" title="Figure_S5_Geneious_Approved_Trace_Secondary_Comparison" descr="Geneious Prime alignment made with the same four author-approved construct-confirmation files used by G-Synth. It provides secondary visual concordance and was not treated as an independent blinded benchmark."/>
            <wp:cNvGraphicFramePr>
              <a:graphicFrameLocks noChangeAspect="1"/>
            </wp:cNvGraphicFramePr>
            <a:graphic>
              <a:graphicData uri="http://schemas.openxmlformats.org/drawingml/2006/picture">
                <pic:pic>
                  <pic:nvPicPr>
                    <pic:cNvPr id="0" name="Figure_S5_Geneious_Approved_Trace_Secondary_Comparison.png"/>
                    <pic:cNvPicPr/>
                  </pic:nvPicPr>
                  <pic:blipFill>
                    <a:blip r:embed="rId23"/>
                    <a:stretch>
                      <a:fillRect/>
                    </a:stretch>
                  </pic:blipFill>
                  <pic:spPr>
                    <a:xfrm>
                      <a:off x="0" y="0"/>
                      <a:ext cx="3480816" cy="3075432"/>
                    </a:xfrm>
                    <a:prstGeom prst="rect"/>
                  </pic:spPr>
                </pic:pic>
              </a:graphicData>
            </a:graphic>
          </wp:inline>
        </w:drawing>
      </w:r>
    </w:p>
    <w:p>
      <w:pPr>
        <w:pStyle w:val="Caption"/>
      </w:pPr>
      <w:r>
        <w:t>Figure S14. Geneious Prime alignment made with the same four author-approved construct-confirmation files used by G-Synth. It provides secondary visual concordance and was not treated as an independent blinded benchmark.</w:t>
      </w:r>
    </w:p>
    <w:p>
      <w:pPr>
        <w:pStyle w:val="Caption"/>
        <w:spacing w:before="0" w:after="160"/>
      </w:pPr>
      <w:r>
        <w:rPr>
          <w:i/>
          <w:color w:val="5D6B78"/>
        </w:rPr>
        <w:t>Alt text: Geneious Prime alignment made with the same four author-approved construct-confirmation files used by G-Synth. It provides secondary visual concordance and was not treated as an independent blinded benchmark.</w:t>
      </w:r>
    </w:p>
    <w:p>
      <w:pPr>
        <w:pStyle w:val="Heading1"/>
      </w:pPr>
      <w:r>
        <w:t>S11. Release and submission checklist</w:t>
      </w:r>
    </w:p>
    <w:p>
      <w:pPr>
        <w:pStyle w:val="ListBullet"/>
        <w:spacing w:after="80" w:line="264" w:lineRule="auto"/>
        <w:ind w:left="720" w:hanging="360"/>
      </w:pPr>
      <w:r>
        <w:t>Obtain written approval from every listed author for author order, affiliations, CRediT roles and AI disclosure.</w:t>
      </w:r>
    </w:p>
    <w:p>
      <w:pPr>
        <w:pStyle w:val="ListBullet"/>
        <w:spacing w:after="80" w:line="264" w:lineRule="auto"/>
        <w:ind w:left="720" w:hanging="360"/>
      </w:pPr>
      <w:r>
        <w:t>Run prospective bidirectional sequencing until both junctions and 100% of each insert are covered at the predefined quality threshold.</w:t>
      </w:r>
    </w:p>
    <w:p>
      <w:pPr>
        <w:pStyle w:val="ListBullet"/>
        <w:spacing w:after="80" w:line="264" w:lineRule="auto"/>
        <w:ind w:left="720" w:hanging="360"/>
      </w:pPr>
      <w:r>
        <w:t>Deposit raw trace files, reference FASTA/GenBank files, evidence JSON and analysis scripts in a stable repository, subject to institutional approval.</w:t>
      </w:r>
    </w:p>
    <w:p>
      <w:pPr>
        <w:pStyle w:val="ListBullet"/>
        <w:spacing w:after="80" w:line="264" w:lineRule="auto"/>
        <w:ind w:left="720" w:hanging="360"/>
      </w:pPr>
      <w:r>
        <w:t>Publish the version 1.0.0 GitHub release, connect Zenodo and insert the versioned DOI in the manuscript and CITATION.cff.</w:t>
      </w:r>
    </w:p>
    <w:p>
      <w:pPr>
        <w:pStyle w:val="ListBullet"/>
        <w:spacing w:after="80" w:line="264" w:lineRule="auto"/>
        <w:ind w:left="720" w:hanging="360"/>
      </w:pPr>
      <w:r>
        <w:t>Perform a clean-clone execution of all three test suites and both publication scripts; retain logs and environment versions.</w:t>
      </w:r>
    </w:p>
    <w:p>
      <w:pPr>
        <w:pStyle w:val="ListBullet"/>
        <w:spacing w:after="80" w:line="264" w:lineRule="auto"/>
        <w:ind w:left="720" w:hanging="360"/>
      </w:pPr>
      <w:r>
        <w:t>Prepare the target journal's graphical summary, high-resolution figures and machine-readable constructs; confirm its current author guidelines and retain the limitation that functional insulin glargine was not demonstrated.</w:t>
      </w:r>
    </w:p>
    <w:sectPr w:rsidR="00FC693F" w:rsidRPr="0006063C" w:rsidSect="00034616">
      <w:headerReference w:type="default" r:id="rId9"/>
      <w:footerReference w:type="default" r:id="rId10"/>
      <w:pgSz w:w="12240" w:h="15840"/>
      <w:pgMar w:top="1224" w:right="1296" w:bottom="1224" w:left="1296"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B78"/>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D9E0E6"/>
      </w:pBdr>
    </w:pPr>
    <w:r>
      <w:rPr>
        <w:rFonts w:ascii="Calibri" w:hAnsi="Calibri"/>
        <w:b/>
        <w:color w:val="5D6B78"/>
        <w:sz w:val="17"/>
      </w:rPr>
      <w:t>G-Synth — Supporting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2233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9757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70549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Calibri" w:hAnsi="Calibri"/>
      <w:b/>
      <w:bCs/>
      <w:i w:val="0"/>
      <w:color w:val="11111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G-Synth — Supporting Information</dc:title>
  <dc:subject>G-Synth scientific software publication</dc:subject>
  <dc:creator>Mohamed Merzoug</dc:creator>
  <cp:keywords>G-Synth, synthetic biology, nucleic-acid design, software validation</cp:keywords>
  <dc:description>generated by python-docx</dc:description>
  <cp:lastModifiedBy>Mohamed Merzoug</cp:lastModifiedBy>
  <cp:revision>1</cp:revision>
  <dcterms:created xsi:type="dcterms:W3CDTF">2013-12-23T23:15:00Z</dcterms:created>
  <dcterms:modified xsi:type="dcterms:W3CDTF">2013-12-23T23:15:00Z</dcterms:modified>
  <cp:category/>
</cp:coreProperties>
</file>