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560" w:after="480" w:line="300" w:lineRule="auto"/>
        <w:jc w:val="center"/>
      </w:pPr>
      <w:r>
        <w:rPr>
          <w:rFonts w:ascii="Calibri" w:hAnsi="Calibri" w:eastAsia="Microsoft YaHei"/>
          <w:b/>
          <w:i w:val="0"/>
          <w:color w:val="7A5A00"/>
          <w:sz w:val="21"/>
        </w:rPr>
        <w:t>规则校正版 · 完整替代报告</w:t>
      </w:r>
    </w:p>
    <w:p>
      <w:pPr>
        <w:keepNext w:val="0"/>
        <w:spacing w:before="0" w:after="240" w:line="259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8"/>
        </w:rPr>
        <w:t>《合掌》双人同时出招</w:t>
        <w:br/>
        <w:t>能量博弈</w:t>
      </w:r>
    </w:p>
    <w:p>
      <w:pPr>
        <w:keepNext w:val="0"/>
        <w:spacing w:before="0" w:after="280" w:line="300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9"/>
        </w:rPr>
        <w:t>每人 1 点攻击、1 点生命条件下的严格推演</w:t>
      </w:r>
    </w:p>
    <w:p>
      <w:pPr>
        <w:keepNext w:val="0"/>
        <w:spacing w:before="0" w:after="1360" w:line="300" w:lineRule="auto"/>
        <w:jc w:val="center"/>
      </w:pPr>
      <w:r>
        <w:rPr>
          <w:rFonts w:ascii="Calibri" w:hAnsi="Calibri" w:eastAsia="Microsoft YaHei"/>
          <w:b w:val="0"/>
          <w:i/>
          <w:color w:val="596069"/>
          <w:sz w:val="21"/>
        </w:rPr>
        <w:t>依据最新版《合掌学基础》重新计算，并逐章替换《合掌.pdf》中的错误结论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1"/>
        </w:rPr>
        <w:t>规则文件更新时间：2026-08-10 13:54:52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Microsoft YaHei"/>
          <w:b w:val="0"/>
          <w:i w:val="0"/>
          <w:color w:val="596069"/>
          <w:sz w:val="17"/>
        </w:rPr>
        <w:t>SHA-256：72E42E7F7840098BA8F4BC6EE4F630A89A59E67470BE6B641E66ABC25C874219</w:t>
      </w:r>
    </w:p>
    <w:p>
      <w:pPr>
        <w:keepNext w:val="0"/>
        <w:spacing w:before="0" w:after="360" w:line="300" w:lineRule="auto"/>
        <w:jc w:val="center"/>
      </w:pPr>
      <w:r>
        <w:rPr>
          <w:rFonts w:ascii="Calibri" w:hAnsi="Calibri" w:eastAsia="Microsoft YaHei"/>
          <w:b w:val="0"/>
          <w:i w:val="0"/>
          <w:color w:val="0B2545"/>
          <w:sz w:val="21"/>
        </w:rPr>
        <w:t>计算日期：2026-08-10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4F6F9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适用范围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双人、同时出招、初始能量均为 0；“1 点攻击”解释为一次成功攻击造成 1 点伤害，而不是只允许使用 K1。双方生命均为 1，因此首次成功命中立即结束对局。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报告说明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规则层：</w:t>
      </w:r>
      <w:r>
        <w:rPr>
          <w:rFonts w:ascii="Calibri" w:hAnsi="Calibri" w:eastAsia="Microsoft YaHei"/>
          <w:color w:val="0B2545"/>
          <w:sz w:val="22"/>
        </w:rPr>
        <w:t>以本地最新版《合掌学基础》为规则原本。原典规定的攻击等级、费用、防御覆盖及“接/闪成功后全员锻数清零”均原样进入模型。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附加层：</w:t>
      </w:r>
      <w:r>
        <w:rPr>
          <w:rFonts w:ascii="Calibri" w:hAnsi="Calibri" w:eastAsia="Microsoft YaHei"/>
          <w:color w:val="0B2545"/>
          <w:sz w:val="22"/>
        </w:rPr>
        <w:t>采用用户指定的每人 1 点攻击、1 点生命；这是终局条件，不反向改写原典的 6 个攻击等级。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数值层：</w:t>
      </w:r>
      <w:r>
        <w:rPr>
          <w:rFonts w:ascii="Calibri" w:hAnsi="Calibri" w:eastAsia="Microsoft YaHei"/>
          <w:color w:val="0B2545"/>
          <w:sz w:val="22"/>
        </w:rPr>
        <w:t>定义 V(s)=P(A胜)-P(B胜)。在已验证几乎必然终局时，P(A胜)=(1+V)/2。表中概率保留 12 位小数；“精确”指由完整鞍点方程和转移规则定义，非声称这些小数本身是闭式根式。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最新版原典变更的影响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新版新增来源署名，规范 clapper 拼写，明确多人比赛为至少 3 人、每回合至多受到 1 点伤害，并修改多人“抵刀”阈值。双人手势、费用、防御范围和重开规则未变，故本次从最新版重新运行后，双人数值与先前正确模型一致。新版多人条文以“攻击等级 &gt;3”与“攻击等级 &lt;3”分述，等级恰为 3 未覆盖；该歧义与本题双人模型无关。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0. 原 PDF 的关键错误与替换结论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656"/>
        <w:gridCol w:w="3240"/>
        <w:gridCol w:w="4464"/>
      </w:tblGrid>
      <w:tr>
        <w:trPr>
          <w:cantSplit/>
          <w:tblHeader w:val="true"/>
        </w:trPr>
        <w:tc>
          <w:tcPr>
            <w:tcW w:type="dxa" w:w="165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 PDF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正确替换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状态空间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把能量硬封顶为 6，共 49 状态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原典无能量上限。0-6 仅是本初始问题的精确闭包，不是规则上限。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接/闪重开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成功防住攻击后仍按普通费用转移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接或闪成功防住攻击后，双方能量立即清零到 (0,0)。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生命/伤害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直接使用一击终局但未清楚分层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一击终局来自用户的 1 攻击、1 生命设定；原典负责出招与命中规则。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同能量策略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概括为持续锻造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仅 (0,0) 纯锻造；(1,1) 起应使用混合策略。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内部值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10 个内部状态沿错误转移求值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10 个内部状态全部重算；原 PDF 数字不再有效。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唯一性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援引有限随机博弈不动点并宣称唯一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不沿用该证明。报告直接验证鞍点、Bellman 残差和吸收性。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策略唯一性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给出单组概率，易被理解为唯一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值确定；部分状态最优策略不唯一，文中给出一组经验证的代表均衡。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49 状态表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被称为全部状态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改称“初始问题所需的 0-6 闭包值矩阵”，避免暗示能量封顶。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结论速览（初始局面）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EEF5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2E74B5"/>
                <w:sz w:val="22"/>
              </w:rPr>
              <w:t>最终开局结论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状态 (e_A,e_B)=(0,0) 时，双方唯一最优动作都是锻造 F，概率 1。该回合后进入 (1,1)。标准值 V(0,0)=0；由于对称且对局几乎必然终止，双方胜率均为 1/2。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152"/>
        <w:gridCol w:w="3888"/>
        <w:gridCol w:w="1728"/>
        <w:gridCol w:w="2592"/>
      </w:tblGrid>
      <w:tr>
        <w:trPr>
          <w:cantSplit/>
          <w:tblHeader w:val="true"/>
        </w:trPr>
        <w:tc>
          <w:tcPr>
            <w:tcW w:type="dxa" w:w="115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玩家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开局最优策略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V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最终胜率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A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F = 1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0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1/2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B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F = 1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0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0"/>
              </w:rPr>
              <w:t>1/2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9B1C1C"/>
          <w:sz w:val="22"/>
        </w:rPr>
        <w:t>这与原 PDF 的首页结论数值相同，但只是“碰巧结论相同”：原 PDF 的后续证明使用了错误的封顶和错误的重开转移。正确模型在进入 (1,1) 后立即不再纯锻造。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在本文展示的代表均衡下，从 (0,0) 开始的期望对局长度为 7.173540151642 回合。因部分状态存在多组最优策略，期望时长依均衡选择可变；开局值与胜率不受此选择影响。</w:t>
      </w:r>
    </w:p>
    <w:p>
      <w:pPr>
        <w:pStyle w:val="Heading1"/>
        <w:keepNext/>
      </w:pPr>
      <w:r>
        <w:t>2. 博弈模型（按最新版原典形式化）</w:t>
      </w:r>
    </w:p>
    <w:p>
      <w:pPr>
        <w:pStyle w:val="Heading2"/>
        <w:keepNext/>
      </w:pPr>
      <w:r>
        <w:t>2.1 状态、动作与费用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状态 s=(e_A,e_B)，其中 e_A,e_B 是非负整数。原典没有能量上限。每回合双方同时选择一个当前能量允许的动作。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"/>
        <w:gridCol w:w="1584"/>
        <w:gridCol w:w="1008"/>
        <w:gridCol w:w="1656"/>
        <w:gridCol w:w="4176"/>
      </w:tblGrid>
      <w:tr>
        <w:trPr>
          <w:cantSplit/>
          <w:tblHeader w:val="true"/>
        </w:trPr>
        <w:tc>
          <w:tcPr>
            <w:tcW w:type="dxa" w:w="93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代码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动作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费用</w:t>
            </w:r>
          </w:p>
        </w:tc>
        <w:tc>
          <w:tcPr>
            <w:tcW w:type="dxa" w:w="165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普通能量变化</w:t>
            </w:r>
          </w:p>
        </w:tc>
        <w:tc>
          <w:tcPr>
            <w:tcW w:type="dxa" w:w="417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规则效果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F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锻造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+1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0；被任意 K1-K6 击败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B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防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覆盖攻击等级 [0,2]；成功不重开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U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接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覆盖 {0}∪[2,3]；成功防住攻击后重开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闪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-2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覆盖 {0}∪[2,5]；成功防住攻击后重开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小刀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-1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1；自身防御范围 [0,1]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武士刀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-2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2；自身防御范围 [0,2]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手里剑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-3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3；自身防御范围 [0,3]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K4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苦（原文用名）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-4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4；自身防御范围 [0,4]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K5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龙牙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-5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5；自身防御范围 [0,5]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K6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虚无</w:t>
            </w:r>
          </w:p>
        </w:tc>
        <w:tc>
          <w:tcPr>
            <w:tcW w:type="dxa" w:w="100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16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-6</w:t>
            </w:r>
          </w:p>
        </w:tc>
        <w:tc>
          <w:tcPr>
            <w:tcW w:type="dxa" w:w="41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攻击等级 6；自身防御范围 [0,6]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同时出招结算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016"/>
        <w:gridCol w:w="7344"/>
      </w:tblGrid>
      <w:tr>
        <w:trPr>
          <w:cantSplit/>
          <w:tblHeader w:val="true"/>
        </w:trPr>
        <w:tc>
          <w:tcPr>
            <w:tcW w:type="dxa" w:w="201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组合</w:t>
            </w:r>
          </w:p>
        </w:tc>
        <w:tc>
          <w:tcPr>
            <w:tcW w:type="dxa" w:w="734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结算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双方攻击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高等级攻击命中并立即获胜；同等级互相抵消，双方支付费用后继续。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攻击对锻造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任意等级攻击命中锻造者并立即获胜。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攻击对防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K1-K2 被防住；K3-K6 命中。防住后不重开。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攻击对接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K2-K3 被接住并触发双方能量清零；K1、K4-K6 命中。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攻击对闪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K2-K5 被闪住并触发双方能量清零；K1、K6 命中。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双方均非攻击</w:t>
            </w:r>
          </w:p>
        </w:tc>
        <w:tc>
          <w:tcPr>
            <w:tcW w:type="dxa" w:w="73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无人受伤；锻造者 +1，闪支付 2，其余能量不变。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若产生成功命中，则因双方生命均为 1，终局收益为 A 命中 +1、B 命中 -1。若无人命中，则进入下一能量状态；接/闪成功防住攻击是唯一会强制转移到 (0,0) 的情形。</w:t>
      </w:r>
    </w:p>
    <w:p>
      <w:pPr>
        <w:pStyle w:val="Heading2"/>
        <w:keepNext/>
      </w:pPr>
      <w:r>
        <w:t>2.3 为什么 0-6 可以精确计算但不是上限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从任一 e_A,e_B≤5 的状态出发，一回合普通转移至多把能量提高 1，因此下一状态仍在 0-6。若一方能量为 6、另一方至多为 5，前者可直接使用 K6，击败对方所有合法攻击、防御或锻造，故该状态值为 ±1。若双方能量相等，交换玩家后状态不变，值为 0。因此，初始问题所需的转移在 0-6 内闭合；这是一条计算闭包证明，不是给规则添加 cap=6。</w:t>
      </w:r>
    </w:p>
    <w:p>
      <w:pPr>
        <w:pStyle w:val="Heading1"/>
        <w:keepNext/>
      </w:pPr>
      <w:r>
        <w:t>3. 对称性与状态约简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V(e_A,e_B) = -V(e_B,e_A)</w:t>
      </w:r>
      <w:r>
        <w:br/>
      </w:r>
      <w:r>
        <w:rPr>
          <w:rFonts w:ascii="Consolas" w:hAnsi="Consolas" w:eastAsia="Microsoft YaHei"/>
          <w:color w:val="0B2545"/>
          <w:sz w:val="18"/>
        </w:rPr>
        <w:t>V(e,e) = 0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0-6 闭包含 49 个有序状态。利用反对称性，只需独立列出 21 个严格上三角状态 e_A&gt;e_B；7 个对角状态值均为 0，严格下三角由取负得到。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重要纠正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“同能量时值为 0”不等于“同能量时双方都应锻造”。值的对称性只规定结果公平；最优动作仍由该状态的同时矩阵决定。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值函数、鞍点与吸收性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对状态 s 和合法动作 a,b，定义矩阵条目 M_s(a,b)：若本回合 A 立即获胜则为 +1；若 B 立即获胜则为 -1；若无人命中则为续局值 V(s')。状态值满足零和同时博弈的鞍点关系：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V(s) = max_p min_q  p^T M_s(V) q = min_q max_p  p^T M_s(V) q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原 PDF 把错误的有限封顶模型直接套入 Shapley 唯一不动点叙述。本报告不沿用那段证明。这里按正确转移解出稳定鞍点，并同时检查每个支持内动作等收益、支持外偏离不改进、Bellman 残差和代表策略下的吸收谱半径。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在代表均衡下吸收概率为 1，因此终局胜率可由值换算：P(A胜)=(1+V)/2，P(B胜)=(1-V)/2。</w:t>
      </w:r>
    </w:p>
    <w:p>
      <w:r>
        <w:br w:type="page"/>
      </w:r>
    </w:p>
    <w:p>
      <w:pPr>
        <w:pStyle w:val="Heading1"/>
        <w:keepNext/>
      </w:pPr>
      <w:r>
        <w:t>5. 值函数的正确精确系统</w:t>
      </w:r>
    </w:p>
    <w:p>
      <w:pPr>
        <w:pStyle w:val="Heading2"/>
        <w:keepNext/>
      </w:pPr>
      <w:r>
        <w:t>5.1 平凡层：11 个值为 1 的上三角状态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440"/>
        <w:gridCol w:w="2088"/>
        <w:gridCol w:w="5832"/>
      </w:tblGrid>
      <w:tr>
        <w:trPr>
          <w:cantSplit/>
          <w:tblHeader w:val="true"/>
        </w:trPr>
        <w:tc>
          <w:tcPr>
            <w:tcW w:type="dxa" w:w="144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 的保证动作</w:t>
            </w:r>
          </w:p>
        </w:tc>
        <w:tc>
          <w:tcPr>
            <w:tcW w:type="dxa" w:w="5832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(3,0)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进入 (4,0) 或 (4,1)，两者均可 K4 立即取胜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(4,0)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对方只有 F/B/U，K4 全部命中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(4,1)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同时击败对方 K1，且穿过 B/U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(5,0)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 立即命中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(5,1)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K4 立即命中或击败 K1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(6,0)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(6,1)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(6,2)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立即命中或击败较低攻击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(6,3)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立即命中或击败较低攻击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(6,4)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立即命中或击败较低攻击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(6,5)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</w:t>
            </w:r>
          </w:p>
        </w:tc>
        <w:tc>
          <w:tcPr>
            <w:tcW w:type="dxa" w:w="583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立即命中或击败较低攻击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内部层：10 个非平凡上三角状态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80"/>
        <w:gridCol w:w="1800"/>
        <w:gridCol w:w="3240"/>
        <w:gridCol w:w="3240"/>
      </w:tblGrid>
      <w:tr>
        <w:trPr>
          <w:cantSplit/>
          <w:tblHeader w:val="true"/>
        </w:trPr>
        <w:tc>
          <w:tcPr>
            <w:tcW w:type="dxa" w:w="1080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正确值 V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 最终胜率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v1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V(1,0)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0.558129670968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0.779064835484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v2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V(2,0)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0.823824043313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0.911912021657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v3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V(2,1)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0.347779879804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0.673889939902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v4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V(3,1)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0.707005732709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0.853502866354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v5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V(3,2)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0.500000000000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0.750000000000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v6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V(4,2)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0.690308509457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0.845154254729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v7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V(4,3)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0.421637672577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0.710818836288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v8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V(5,2)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0.690308509457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0.845154254729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v9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V(5,3)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0.421637672577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0.710818836288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v10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V(5,4)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0.333333333333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0.666666666667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取代原 PDF 巨型有理式的精确鞍点系统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对每个内部状态 s，令 A_s(v) 为按第 2 节规则生成的收益矩阵；矩阵元素只能是 +1、-1、0 或某一续局值 ±v_i。令 I_s、J_s 为下节所列的正概率支持。精确解由下列等式与不等式共同定义：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1^T p_s = 1,   1^T q_s = 1,   p_s &gt;= 0,   q_s &gt;= 0</w:t>
      </w:r>
      <w:r>
        <w:br/>
      </w:r>
      <w:r>
        <w:rPr>
          <w:rFonts w:ascii="Consolas" w:hAnsi="Consolas" w:eastAsia="Microsoft YaHei"/>
          <w:color w:val="0B2545"/>
          <w:sz w:val="18"/>
        </w:rPr>
        <w:t>A_s(v) q_s &lt;= v_s 1,          p_s^T A_s(v) &gt;= v_s 1^T</w:t>
      </w:r>
      <w:r>
        <w:br/>
      </w:r>
      <w:r>
        <w:rPr>
          <w:rFonts w:ascii="Consolas" w:hAnsi="Consolas" w:eastAsia="Microsoft YaHei"/>
          <w:color w:val="0B2545"/>
          <w:sz w:val="18"/>
        </w:rPr>
        <w:t>[A_s(v) q_s]_i = v_s  (i in I_s)</w:t>
      </w:r>
      <w:r>
        <w:br/>
      </w:r>
      <w:r>
        <w:rPr>
          <w:rFonts w:ascii="Consolas" w:hAnsi="Consolas" w:eastAsia="Microsoft YaHei"/>
          <w:color w:val="0B2545"/>
          <w:sz w:val="18"/>
        </w:rPr>
        <w:t>[p_s^T A_s(v)]_j = v_s  (j in J_s)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该系统直接包含支持外偏离约束，比仅写一个分式方程更完整。以下四个低能量矩阵展示了系统如何从规则逐格生成。设 x=V(1,0)、y=V(2,0)、z=V(2,1)、d=V(3,1)。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(0,0), rows/cols F,B,U:</w:t>
      </w:r>
      <w:r>
        <w:br/>
      </w:r>
      <w:r>
        <w:rPr>
          <w:rFonts w:ascii="Consolas" w:hAnsi="Consolas" w:eastAsia="Microsoft YaHei"/>
          <w:color w:val="0B2545"/>
          <w:sz w:val="18"/>
        </w:rPr>
        <w:t>[ 0   x   x ]</w:t>
      </w:r>
      <w:r>
        <w:br/>
      </w:r>
      <w:r>
        <w:rPr>
          <w:rFonts w:ascii="Consolas" w:hAnsi="Consolas" w:eastAsia="Microsoft YaHei"/>
          <w:color w:val="0B2545"/>
          <w:sz w:val="18"/>
        </w:rPr>
        <w:t>[-x   0   0 ]</w:t>
      </w:r>
      <w:r>
        <w:br/>
      </w:r>
      <w:r>
        <w:rPr>
          <w:rFonts w:ascii="Consolas" w:hAnsi="Consolas" w:eastAsia="Microsoft YaHei"/>
          <w:color w:val="0B2545"/>
          <w:sz w:val="18"/>
        </w:rPr>
        <w:t>[-x   0   0 ]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(1,0), rows F,K1; cols F,B:    [ z  y ; 1  0 ]</w:t>
      </w:r>
      <w:r>
        <w:br/>
      </w:r>
      <w:r>
        <w:rPr>
          <w:rFonts w:ascii="Consolas" w:hAnsi="Consolas" w:eastAsia="Microsoft YaHei"/>
          <w:color w:val="0B2545"/>
          <w:sz w:val="18"/>
        </w:rPr>
        <w:t>x = y / (1 + y - z)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(1,1), rows/cols F,B,K1:</w:t>
      </w:r>
      <w:r>
        <w:br/>
      </w:r>
      <w:r>
        <w:rPr>
          <w:rFonts w:ascii="Consolas" w:hAnsi="Consolas" w:eastAsia="Microsoft YaHei"/>
          <w:color w:val="0B2545"/>
          <w:sz w:val="18"/>
        </w:rPr>
        <w:t>[ 0   z  -1 ]</w:t>
      </w:r>
      <w:r>
        <w:br/>
      </w:r>
      <w:r>
        <w:rPr>
          <w:rFonts w:ascii="Consolas" w:hAnsi="Consolas" w:eastAsia="Microsoft YaHei"/>
          <w:color w:val="0B2545"/>
          <w:sz w:val="18"/>
        </w:rPr>
        <w:t>[-z   0   x ]</w:t>
      </w:r>
      <w:r>
        <w:br/>
      </w:r>
      <w:r>
        <w:rPr>
          <w:rFonts w:ascii="Consolas" w:hAnsi="Consolas" w:eastAsia="Microsoft YaHei"/>
          <w:color w:val="0B2545"/>
          <w:sz w:val="18"/>
        </w:rPr>
        <w:t>[ 1  -x   0 ]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(2,0), rows F,K1; cols F,B:    [ d  1 ; 1  x ]</w:t>
      </w:r>
      <w:r>
        <w:br/>
      </w:r>
      <w:r>
        <w:rPr>
          <w:rFonts w:ascii="Consolas" w:hAnsi="Consolas" w:eastAsia="Microsoft YaHei"/>
          <w:color w:val="0B2545"/>
          <w:sz w:val="18"/>
        </w:rPr>
        <w:t>y = (d*x - 1) / (d + x - 2)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(2,1), rows/cols F,B,K1:</w:t>
      </w:r>
      <w:r>
        <w:br/>
      </w:r>
      <w:r>
        <w:rPr>
          <w:rFonts w:ascii="Consolas" w:hAnsi="Consolas" w:eastAsia="Microsoft YaHei"/>
          <w:color w:val="0B2545"/>
          <w:sz w:val="18"/>
        </w:rPr>
        <w:t>[ 1/2   d  -1 ]</w:t>
      </w:r>
      <w:r>
        <w:br/>
      </w:r>
      <w:r>
        <w:rPr>
          <w:rFonts w:ascii="Consolas" w:hAnsi="Consolas" w:eastAsia="Microsoft YaHei"/>
          <w:color w:val="0B2545"/>
          <w:sz w:val="18"/>
        </w:rPr>
        <w:t>[   0   z   y ]</w:t>
      </w:r>
      <w:r>
        <w:br/>
      </w:r>
      <w:r>
        <w:rPr>
          <w:rFonts w:ascii="Consolas" w:hAnsi="Consolas" w:eastAsia="Microsoft YaHei"/>
          <w:color w:val="0B2545"/>
          <w:sz w:val="18"/>
        </w:rPr>
        <w:t>[   1   0   x ]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其余 6 个内部状态采用完全相同的矩阵生成规则。原 PDF 的 10 个长分式建立在 cap=6 且接/闪不重开的错误矩阵上，故不作局部修补，而由上述正确鞍点系统整体替换。</w:t>
      </w:r>
    </w:p>
    <w:p>
      <w:pPr>
        <w:pStyle w:val="Heading1"/>
        <w:keepNext/>
      </w:pPr>
      <w:r>
        <w:t>6. 均衡（最优混合）策略</w:t>
      </w:r>
    </w:p>
    <w:p>
      <w:pPr>
        <w:pStyle w:val="Heading2"/>
        <w:keepNext/>
      </w:pPr>
      <w:r>
        <w:t>6.1 初始局面 (0,0)</w:t>
      </w:r>
    </w:p>
    <w:p>
      <w:pPr>
        <w:pStyle w:val="EquationBlock"/>
      </w:pPr>
      <w:r>
        <w:rPr>
          <w:rFonts w:ascii="Consolas" w:hAnsi="Consolas" w:eastAsia="Microsoft YaHei"/>
          <w:color w:val="0B2545"/>
          <w:sz w:val="18"/>
        </w:rPr>
        <w:t>双方：F = 1</w:t>
      </w:r>
      <w:r>
        <w:br/>
      </w:r>
      <w:r>
        <w:rPr>
          <w:rFonts w:ascii="Consolas" w:hAnsi="Consolas" w:eastAsia="Microsoft YaHei"/>
          <w:color w:val="0B2545"/>
          <w:sz w:val="18"/>
        </w:rPr>
        <w:t>V(0,0)=0，P(A胜)=P(B胜)=1/2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若一方在 (0,0) 出 B 或 U，而对方锻造，则前者把能量优势让给对方；因 V(1,0)&gt;0，这种偏离严格劣于锻造。</w:t>
      </w:r>
    </w:p>
    <w:p>
      <w:pPr>
        <w:pStyle w:val="Heading2"/>
        <w:keepNext/>
      </w:pPr>
      <w:r>
        <w:t>6.2 平凡层纯策略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第 5.1 节所列动作均保证 A 的收益为 1。对称的下三角状态由 B 使用对应动作。</w:t>
      </w:r>
    </w:p>
    <w:p>
      <w:pPr>
        <w:pStyle w:val="Heading2"/>
        <w:keepNext/>
      </w:pPr>
      <w:r>
        <w:t>6.3 内部层的均衡支持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296"/>
        <w:gridCol w:w="1944"/>
        <w:gridCol w:w="3024"/>
        <w:gridCol w:w="3096"/>
      </w:tblGrid>
      <w:tr>
        <w:trPr>
          <w:cantSplit/>
          <w:tblHeader w:val="true"/>
        </w:trPr>
        <w:tc>
          <w:tcPr>
            <w:tcW w:type="dxa" w:w="129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 支持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B 支持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(1,0)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0.558129670968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F、K1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(2,0)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0.823824043313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F、K1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(2,1)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0.347779879804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F、B、K1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F、B、K1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(3,1)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0.707005732709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F、B、K1、K3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F、B、U、K1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(3,2)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0.500000000000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B、K1、K3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F、B、U、K2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(4,2)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0.690308509457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B、K1、K3、K4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F、S、K2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(4,3)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0.421637672577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B、U、K4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S、K1、K3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(5,2)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0.690308509457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F、B、K3、K4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F、S、K2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(5,3)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0.421637672577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U、K1、K4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S、K1、K3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(5,4)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0.333333333333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K1、K5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S、K2、K3、K4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同能量状态的代表均衡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584"/>
        <w:gridCol w:w="7776"/>
      </w:tblGrid>
      <w:tr>
        <w:trPr>
          <w:cantSplit/>
          <w:tblHeader w:val="true"/>
        </w:trPr>
        <w:tc>
          <w:tcPr>
            <w:tcW w:type="dxa" w:w="158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双方采用的同一策略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(0,0)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F=1.000000000000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(1,1)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F=0.292841636027；B=0.524683870541；K1=0.182474493432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(2,2)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F=0.354512229824；B=0.430325180117；K2=0.215162590059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(3,3)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U=0.500000000000；K3=0.500000000000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(4,4)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S=0.500000000000；K4=0.500000000000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(5,5)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S=0.500000000000；K5=0.500000000000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(6,6)</w:t>
            </w:r>
          </w:p>
        </w:tc>
        <w:tc>
          <w:tcPr>
            <w:tcW w:type="dxa" w:w="77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K6=1.000000000000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7A5A00"/>
                <w:sz w:val="22"/>
              </w:rPr>
              <w:t>原 PDF 的概括为何错误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只有 (0,0) 是纯锻造。进入 (1,1) 后，双方均衡为 F=0.292841636027、B=0.524683870541、K1=0.182474493432；若对方在 (1,1) 仍纯锻造，直接出 K1 会立即获胜。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数值附录（正确结果）</w:t>
      </w:r>
    </w:p>
    <w:p>
      <w:pPr>
        <w:pStyle w:val="Heading2"/>
        <w:keepNext/>
      </w:pPr>
      <w:r>
        <w:t>7.1 21 个严格上三角状态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728"/>
        <w:gridCol w:w="3816"/>
        <w:gridCol w:w="3816"/>
      </w:tblGrid>
      <w:tr>
        <w:trPr>
          <w:cantSplit/>
          <w:tblHeader w:val="true"/>
        </w:trPr>
        <w:tc>
          <w:tcPr>
            <w:tcW w:type="dxa" w:w="1728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V=P(A胜)-P(B胜)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P(A胜)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(1,0)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0.558129670968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0.779064835484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(2,0)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0.823824043313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0.911912021657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(2,1)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0.347779879804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0.673889939902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0.707005732709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0.853502866354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(3,2)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0.500000000000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0.750000000000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(4,2)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0.690308509457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0.845154254729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(4,3)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0.421637672577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0.710818836288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(5,2)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0.690308509457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0.845154254729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(5,3)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0.421637672577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0.710818836288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(5,4)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0.333333333333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0.666666666667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(6,0)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(6,1)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(6,2)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(6,3)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(6,4)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(6,5)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81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初始问题所需的 49 状态值矩阵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"/>
        <w:gridCol w:w="1202"/>
        <w:gridCol w:w="1202"/>
        <w:gridCol w:w="1202"/>
        <w:gridCol w:w="1202"/>
        <w:gridCol w:w="1202"/>
        <w:gridCol w:w="1202"/>
        <w:gridCol w:w="1212"/>
      </w:tblGrid>
      <w:tr>
        <w:trPr>
          <w:cantSplit/>
          <w:tblHeader w:val="true"/>
        </w:trPr>
        <w:tc>
          <w:tcPr>
            <w:tcW w:type="dxa" w:w="93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e_A\e_B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2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3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4</w:t>
            </w:r>
          </w:p>
        </w:tc>
        <w:tc>
          <w:tcPr>
            <w:tcW w:type="dxa" w:w="120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5</w:t>
            </w:r>
          </w:p>
        </w:tc>
        <w:tc>
          <w:tcPr>
            <w:tcW w:type="dxa" w:w="1212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6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-0.558130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-0.823824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0.558130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-0.347780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-0.707006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0.823824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0.347780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-0.500000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-0.690309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-0.690309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0.707006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0.500000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-0.421638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-0.421638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4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0.690309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0.421638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-0.333333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5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0.690309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0.421638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0.333333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-1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6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0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1212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/>
          <w:color w:val="596069"/>
          <w:sz w:val="18"/>
        </w:rPr>
        <w:t>说明：该表是从初始能量 0 出发求值所需的精确 0-6 闭包，不表示能量被封顶。下三角严格等于上三角取负。</w:t>
      </w:r>
    </w:p>
    <w:p>
      <w:pPr>
        <w:pStyle w:val="Heading2"/>
        <w:keepNext/>
      </w:pPr>
      <w:r>
        <w:t>7.3 10 个内部状态的代表均衡概率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080"/>
        <w:gridCol w:w="1368"/>
        <w:gridCol w:w="3456"/>
        <w:gridCol w:w="3456"/>
      </w:tblGrid>
      <w:tr>
        <w:trPr>
          <w:cantSplit/>
          <w:tblHeader w:val="true"/>
        </w:trPr>
        <w:tc>
          <w:tcPr>
            <w:tcW w:type="dxa" w:w="108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状态</w:t>
            </w:r>
          </w:p>
        </w:tc>
        <w:tc>
          <w:tcPr>
            <w:tcW w:type="dxa" w:w="136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V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A 的概率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B 的概率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(1,0)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0.558129670968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F=0.677486503942；K1=0.322513496058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F=0.558129670968；B=0.441870329032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(2,0)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0.823824043313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F=0.601294893295；K1=0.398705106705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F=0.601294893295；B=0.398705106705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(2,1)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0.347779879804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F=0.226875373847；B=0.538782433272；K1=0.234342192881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F=0.247046892335；B=0.572469982131；K1=0.180483125534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(3,1)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0.707005732709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F=0.127001329486；B=0.507326072524；K1=0.221321961596；K3=0.144350636394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F=0.170075800430；B=0.416768312704；U=0.292994267291；K1=0.120161619575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(3,2)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0.500000000000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B=0.500000000000；K1=0.250000000000；K3=0.250000000000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F=0.097146766663；B=0.305706466673；U=0.500000000000；K2=0.097146766663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(4,2)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0.690308509457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B=0.535462764186；K1=0.154845745271；K3=0.143863228972；K4=0.165828261571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F=0.535462764186；S=0.309691490543；K2=0.154845745271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(4,3)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0.421637672577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B=0.156724654847；U=0.264913017730；K4=0.578362327423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S=0.578362327423；K1=0.156724654847；K3=0.264913017730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(5,2)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0.690308509457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F=0.154845745271；B=0.535462764186；K3=0.143863228972；K4=0.165828261571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F=0.535462764186；S=0.309691490543；K2=0.154845745271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(5,3)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0.421637672577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U=0.264913017730；K1=0.156724654847；K4=0.578362327423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S=0.578362327423；K1=0.156724654847；K3=0.264913017730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(5,4)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0.333333333333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K1=0.333333333333；K5=0.666666666667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S=0.666666666667；K2=0.122143971080；K3=0.084317022615；K4=0.126872339638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19"/>
        </w:rPr>
        <w:t>策略不唯一说明：至少在若干退化状态存在多组最优概率。表中是一组通过完整偏离检验的代表鞍点。例如 (5,4) 中 A 采用 K1=1/3、K5=2/3；B 的 S 概率为 2/3，其余 1/3 可在满足鞍点不等式的部分攻击间分配。</w:t>
      </w:r>
    </w:p>
    <w:p>
      <w:pPr>
        <w:pStyle w:val="Heading2"/>
        <w:keepNext/>
      </w:pPr>
      <w:r>
        <w:t>7.4 原 PDF 内部值与正确值对照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1224"/>
        <w:gridCol w:w="2736"/>
        <w:gridCol w:w="2736"/>
        <w:gridCol w:w="2664"/>
      </w:tblGrid>
      <w:tr>
        <w:trPr>
          <w:cantSplit/>
          <w:tblHeader w:val="true"/>
        </w:trPr>
        <w:tc>
          <w:tcPr>
            <w:tcW w:type="dxa" w:w="1224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 PDF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正确值</w:t>
            </w:r>
          </w:p>
        </w:tc>
        <w:tc>
          <w:tcPr>
            <w:tcW w:type="dxa" w:w="2664"/>
            <w:vAlign w:val="center"/>
            <w:shd w:fill="E8EEF5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正确值-原值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(1, 0)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0.545665218507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0.558129670968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+0.012464452461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(2, 0)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0.806756162889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0.823824043313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+0.017067880424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(2, 1)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0.328274237476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0.347779879804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+0.019505642329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(3, 1)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0.663728679995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0.707005732709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+0.043277052714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(3, 2)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0.400742532413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0.500000000000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+0.099257467587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(4, 2)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0.706298132002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0.690308509457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-0.015989622545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(4, 3)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0.381800508268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0.421637672577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+0.039837164308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(5, 2)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0.828923600640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0.690308509457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-0.138615091183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(5, 3)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0.515773677699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0.421637672577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-0.094136005122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(5, 4)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0.249981618162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0.333333333333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+0.083351715171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推导与验证说明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792"/>
        <w:gridCol w:w="1800"/>
        <w:gridCol w:w="6768"/>
      </w:tblGrid>
      <w:tr>
        <w:trPr>
          <w:cantSplit/>
          <w:tblHeader w:val="true"/>
        </w:trPr>
        <w:tc>
          <w:tcPr>
            <w:tcW w:type="dxa" w:w="792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序号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规则语义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逐格按最新版费用、覆盖和接/闪重开生成收益矩阵；不使用能量封顶。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固定点收敛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同步值迭代 50 轮；末轮最大变化 1.099e-14。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Bellman 残差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内部数值状态最大残差 5.884e-15。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鞍点偏离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代表策略的最大单边改进量 4.441e-16。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反对称性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数值矩阵强制并复核 V(a,b)=-V(b,a)，对角线为 0。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吸收性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代表策略转移矩阵谱半径 0.802901120900&lt;1；吸收概率误差 8.882e-16。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胜率校验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(0,0) 胜/负各 0.500000000000；(1,0) 领先方胜率 0.779064835484。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边界语义</w:t>
            </w:r>
          </w:p>
        </w:tc>
        <w:tc>
          <w:tcPr>
            <w:tcW w:type="dxa" w:w="676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一方 6、另一方至多 5 时，K6 立即保证获胜；(6,6) 由对称性值为 0。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EEF5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2E74B5"/>
                <w:sz w:val="22"/>
              </w:rPr>
              <w:t>可复核结论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数值误差处于 10^-14 至 10^-16 量级。更重要的是，规则语义检查确认所有接/闪成功格都转移到 (0,0)，且所有普通锻造转移都没有 min(6,·) 截断。原 PDF 的主要错误不是舍入，而是状态转移本身。</w:t>
            </w:r>
          </w:p>
        </w:tc>
      </w:tr>
    </w:tbl>
    <w:p>
      <w:pPr>
        <w:spacing w:after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在本文展示的代表策略下，从 (1,0) 出发，能量领先方胜率为 0.779064835484，负率为 0.220935164516，期望剩余回合数为 5.322615775462。胜率亦等于 (1+V(1,0))/2。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本报告不保留原 PDF 关于“内部值不存在人类可读根式”的断言。是否存在简洁闭式不是判定规则正确性的必要条件；这里给出完整鞍点系统、稳定数值和可重复误差指标。</w:t>
      </w:r>
    </w:p>
    <w:p>
      <w:pPr>
        <w:pStyle w:val="Heading1"/>
        <w:keepNext/>
      </w:pPr>
      <w:r>
        <w:t>9. 一句话结论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8EEF5"/>
          </w:tcPr>
          <w:p>
            <w:pPr>
              <w:spacing w:after="80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0"/>
              </w:rPr>
              <w:t>按最新版《合掌学基础》并采用双人 1 点攻击、1 点生命设定，(0,0) 的唯一最优开局仍是双方锻造，V=0、胜率各 1/2；但从 (1,1) 起必须使用本文给出的混合均衡，原 PDF 因错误封顶且漏掉接/闪重开而得到的后续值与策略应全部替换。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A：原 PDF 内容覆盖表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376"/>
        <w:gridCol w:w="1584"/>
        <w:gridCol w:w="5400"/>
      </w:tblGrid>
      <w:tr>
        <w:trPr>
          <w:cantSplit/>
          <w:tblHeader w:val="true"/>
        </w:trPr>
        <w:tc>
          <w:tcPr>
            <w:tcW w:type="dxa" w:w="2376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 PDF 栏目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本报告位置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1. 结论速览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1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保留正确开局结论，重写证明与时长说明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2. 博弈模型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2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删除 cap=6，恢复接/闪重开，明确 1 攻 1 命分层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3. 对称性与状态约简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3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保留反对称性，重释 49 状态为闭包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4. 值函数与唯一性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4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改为鞍点、Bellman 与吸收性验证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5. 精确系统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5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11 个值 1 状态、10 个内部变量和正确鞍点系统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6. 均衡策略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6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开局、平凡层、内部支持、同能量状态全部覆盖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7. 数值附录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7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21 状态、49 矩阵、10 状态概率及旧新对照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8. 推导与验证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8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收敛、残差、偏离、对称、吸收和边界验证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9. 一句话结语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9 节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给出可直接替代原 PDF 的正确结论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B：符号与动作代码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</w:tblPr>
      <w:tblGrid>
        <w:gridCol w:w="2088"/>
        <w:gridCol w:w="7272"/>
      </w:tblGrid>
      <w:tr>
        <w:trPr>
          <w:cantSplit/>
          <w:tblHeader w:val="true"/>
        </w:trPr>
        <w:tc>
          <w:tcPr>
            <w:tcW w:type="dxa" w:w="2088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符号</w:t>
            </w:r>
          </w:p>
        </w:tc>
        <w:tc>
          <w:tcPr>
            <w:tcW w:type="dxa" w:w="7272"/>
            <w:vAlign w:val="center"/>
            <w:shd w:fill="E8EEF5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e_A,e_B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A、B 当前能量（锻数），非负整数，无上限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V(s)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P(A胜)-P(B胜)，范围 [-1,1]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F/B/U/S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锻造/防/接/闪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K1-K6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攻击等级 1-6，费用等于等级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p_s,q_s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状态 s 下 A、B 的混合策略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M_s(V)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由本回合终局收益或续局值组成的状态收益矩阵</w:t>
            </w:r>
          </w:p>
        </w:tc>
      </w:tr>
    </w:tbl>
    <w:p>
      <w:pPr>
        <w:spacing w:after="0"/>
      </w:pPr>
    </w:p>
    <w:p>
      <w:pPr>
        <w:keepNext w:val="0"/>
        <w:spacing w:before="240" w:after="0" w:line="300" w:lineRule="auto"/>
        <w:jc w:val="left"/>
      </w:pPr>
      <w:r>
        <w:rPr>
          <w:rFonts w:ascii="Calibri" w:hAnsi="Calibri" w:eastAsia="Microsoft YaHei"/>
          <w:b w:val="0"/>
          <w:i/>
          <w:color w:val="596069"/>
          <w:sz w:val="17"/>
        </w:rPr>
        <w:t>规则来源：本地最新版《合掌学基础》；来源文件内载知乎链接与著作权说明。审查对象：本地《合掌.pdf》（8 页）。本报告为规则推演与数值校正，不改写规则原典。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6069"/>
        <w:sz w:val="18"/>
      </w:rPr>
      <w:t xml:space="preserve">第 </w:t>
    </w:r>
    <w:r>
      <w:rPr>
        <w:rFonts w:ascii="Calibri" w:hAnsi="Calibri" w:eastAsia="Microsoft YaHei"/>
        <w:color w:val="59606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960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color w:val="596069"/>
        <w:sz w:val="17"/>
      </w:rPr>
      <w:t>《合掌》双人 1 攻 1 命正确博弈解析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 Block"/>
    <w:pPr>
      <w:spacing w:before="80" w:after="160" w:line="259" w:lineRule="auto"/>
      <w:ind w:left="317" w:right="173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《合掌》双人 1 攻 1 命正确博弈解析</dc:title>
  <dc:subject>依据最新版《合掌学基础》对《合掌.pdf》的完整校正与重算</dc:subject>
  <dc:creator>Codex</dc:creator>
  <cp:keywords>合掌, 博弈论, 同时出招, 混合策略, 规则审查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