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80"/>
      </w:pPr>
      <w:r>
        <w:rPr>
          <w:rFonts w:ascii="Calibri" w:hAnsi="Calibri" w:eastAsia="Microsoft YaHei"/>
          <w:b/>
          <w:color w:val="9B1C1C"/>
          <w:sz w:val="20"/>
        </w:rPr>
        <w:t>规则审查报告</w:t>
      </w:r>
    </w:p>
    <w:p>
      <w:pPr>
        <w:spacing w:before="0" w:after="100"/>
        <w:keepNext/>
        <w:keepLines/>
        <w:widowControl/>
      </w:pPr>
      <w:r>
        <w:rPr>
          <w:rFonts w:ascii="Calibri" w:hAnsi="Calibri" w:eastAsia="Microsoft YaHei"/>
          <w:b/>
          <w:color w:val="000000"/>
          <w:sz w:val="46"/>
        </w:rPr>
        <w:t>《合掌.pdf》严格审查结论</w:t>
      </w:r>
    </w:p>
    <w:p>
      <w:pPr>
        <w:spacing w:before="0" w:after="320"/>
        <w:keepNext/>
        <w:keepLines/>
        <w:widowControl/>
      </w:pPr>
      <w:r>
        <w:rPr>
          <w:rFonts w:ascii="Calibri" w:hAnsi="Calibri" w:eastAsia="Microsoft YaHei"/>
          <w:color w:val="667085"/>
          <w:sz w:val="28"/>
        </w:rPr>
        <w:t>以《合掌学基础》为唯一规则原本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审查对象：</w:t>
      </w:r>
      <w:r>
        <w:rPr>
          <w:rFonts w:ascii="Calibri" w:hAnsi="Calibri" w:eastAsia="Microsoft YaHei"/>
          <w:b w:val="0"/>
          <w:color w:val="000000"/>
          <w:sz w:val="21"/>
        </w:rPr>
        <w:t>合掌.pdf（8页）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规则原本：</w:t>
      </w:r>
      <w:r>
        <w:rPr>
          <w:rFonts w:ascii="Calibri" w:hAnsi="Calibri" w:eastAsia="Microsoft YaHei"/>
          <w:b w:val="0"/>
          <w:color w:val="000000"/>
          <w:sz w:val="21"/>
        </w:rPr>
        <w:t>《合掌学基础》.docx（2页）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审查日期：</w:t>
      </w:r>
      <w:r>
        <w:rPr>
          <w:rFonts w:ascii="Calibri" w:hAnsi="Calibri" w:eastAsia="Microsoft YaHei"/>
          <w:b w:val="0"/>
          <w:color w:val="000000"/>
          <w:sz w:val="21"/>
        </w:rPr>
        <w:t>2026年8月10日</w:t>
      </w:r>
    </w:p>
    <w:p>
      <w:pPr>
        <w:spacing w:before="0" w:after="40" w:line="252" w:lineRule="auto"/>
      </w:pPr>
      <w:r>
        <w:rPr>
          <w:rFonts w:ascii="Calibri" w:hAnsi="Calibri" w:eastAsia="Microsoft YaHei"/>
          <w:b/>
          <w:color w:val="000000"/>
          <w:sz w:val="21"/>
        </w:rPr>
        <w:t>审查结论：</w:t>
      </w:r>
      <w:r>
        <w:rPr>
          <w:rFonts w:ascii="Calibri" w:hAnsi="Calibri" w:eastAsia="Microsoft YaHei"/>
          <w:b/>
          <w:color w:val="9B1C1C"/>
          <w:sz w:val="21"/>
        </w:rPr>
        <w:t>不通过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bottom w:w="140" w:type="dxa"/>
              <w:start w:w="180" w:type="dxa"/>
              <w:end w:w="180" w:type="dxa"/>
            </w:tcMar>
            <w:shd w:fill="FFF4F4"/>
          </w:tcPr>
          <w:p>
            <w:pPr>
              <w:spacing w:before="0" w:after="0" w:line="276" w:lineRule="auto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最终判定：不通过。 </w:t>
            </w: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PDF 的数值体系只能视为“能量封顶6、接闪不清零、一次命中即终局”的自定义变体分析，不能作为《合掌学基础》经典规则下的精确解析解。</w:t>
            </w:r>
          </w:p>
        </w:tc>
      </w:tr>
    </w:tbl>
    <w:p>
      <w:pPr>
        <w:spacing w:after="40" w:line="120" w:lineRule="auto"/>
      </w:pP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结论摘要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存在两项直接改变状态转移的致命冲突：接/闪成功后没有清零，以及未经原本授权把能量封顶为6。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PDF 又加入了初始能量、一次击败即死亡、终局收益为±1、非吸收路径收益为0等关键公理；这些均不是原本的明文规则。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在PDF自设模型内部，所列49状态数值可以相互复现；问题主要是模型不忠于原本，而非普通算术失误。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“唯一不动点”“胜率各半”“不存在根式闭式”等结论缺少达到严格标准所需的证明。</w:t>
      </w:r>
    </w:p>
    <w:p>
      <w:pPr>
        <w:pStyle w:val="Heading2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26"/>
        </w:rPr>
        <w:t>审查标准与边界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本报告把《合掌学基础》作为唯一规则原本。凡PDF与原文明文冲突者，认定为规则错误；凡原本未规定而PDF自行补充者，认定为未获授权的模型假设；数学结论只在其前提已成立时审查。现有程序、统一规则、测试和其他裁定不用于反向改写原本。</w:t>
      </w: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致命及重大规则问题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52"/>
        <w:gridCol w:w="2880"/>
        <w:gridCol w:w="5328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严重性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问题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影响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致命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权威来源错位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PDF明示依据 _work/spec.md 及D1-D6裁决，而不是指定的唯一原本；因此其模型身份从一开始就不满足本次审查条件。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致命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接/闪成功未清零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原本规定成功使用接或闪后所有合掌者锻数清零；PDF却让攻击失效后能量照常结算并继续。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致命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能量擅自封顶为6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原本规定每次锻造增加一锻，没有上限。PDF据此构造49状态，改变了合法状态集合及大量后继状态。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致命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一次击败即死亡、终局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原本没有给出双人生命值、淘汰条件和终局收益。PDF把手势被击败直接解释为角色死亡并赋收益±1，整套博弈目标未经授权。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重大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初始状态固定为(0,0)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原本未直接写明初始锻数。‘重开即清零’可以形成推测，但严格模型必须把它列为待确认假设。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一般</w:t>
            </w:r>
          </w:p>
        </w:tc>
        <w:tc>
          <w:tcPr>
            <w:tcW w:type="dxa" w:w="28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术语与形式化漂移</w:t>
            </w:r>
          </w:p>
        </w:tc>
        <w:tc>
          <w:tcPr>
            <w:tcW w:type="dxa" w:w="53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原本的四级攻击名称为‘苦’，PDF写作‘苦无’；PDF又写cov(K)=空集，弱化了原本对攻击手势防御等级[0,n]的统一定义。</w:t>
            </w:r>
          </w:p>
        </w:tc>
      </w:tr>
    </w:tbl>
    <w:p>
      <w:pPr>
        <w:pStyle w:val="Heading2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26"/>
        </w:rPr>
        <w:t>直接反例：接成功后的后继状态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1F4D78"/>
          <w:left w:val="single" w:sz="10" w:space="0" w:color="1F4D78"/>
          <w:bottom w:val="single" w:sz="10" w:space="0" w:color="1F4D78"/>
          <w:right w:val="single" w:sz="10" w:space="0" w:color="1F4D78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bottom w:w="140" w:type="dxa"/>
              <w:start w:w="180" w:type="dxa"/>
              <w:end w:w="180" w:type="dxa"/>
            </w:tcMar>
            <w:shd w:fill="F4F6F9"/>
          </w:tcPr>
          <w:p>
            <w:pPr>
              <w:spacing w:before="0" w:after="0" w:line="276" w:lineRule="auto"/>
              <w:keepLines/>
              <w:widowControl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原本明文： </w:t>
            </w:r>
            <w:r>
              <w:rPr>
                <w:rFonts w:ascii="Calibri" w:hAnsi="Calibri" w:eastAsia="Microsoft YaHei"/>
                <w:b w:val="0"/>
                <w:color w:val="0B2545"/>
                <w:sz w:val="22"/>
              </w:rPr>
              <w:t>“其中，成功使用‘接’或‘闪’防御某种攻击之后，所有合掌者的锻数清零。（别称‘重开’）”</w:t>
            </w:r>
          </w:p>
        </w:tc>
      </w:tr>
    </w:tbl>
    <w:p>
      <w:pPr>
        <w:spacing w:after="40" w:line="120" w:lineRule="auto"/>
      </w:pPr>
    </w:p>
    <w:p>
      <w:pPr>
        <w:numPr>
          <w:ilvl w:val="0"/>
          <w:numId w:val="10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取PDF均衡支撑中实际出现的状态(3,2)：A有3锻，B有2锻。</w:t>
      </w:r>
    </w:p>
    <w:p>
      <w:pPr>
        <w:numPr>
          <w:ilvl w:val="0"/>
          <w:numId w:val="10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A出K3，B出‘接’；三级攻击处于‘接’的防御等级{0}∪[2,3]内，因此接成功。</w:t>
      </w:r>
    </w:p>
    <w:p>
      <w:pPr>
        <w:numPr>
          <w:ilvl w:val="0"/>
          <w:numId w:val="10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PDF按普通费用结算，得到后继状态(0,2)；原本要求双方锻数全部清零，后继状态必须是(0,0)。</w:t>
      </w:r>
    </w:p>
    <w:p>
      <w:pPr>
        <w:numPr>
          <w:ilvl w:val="0"/>
          <w:numId w:val="10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使用PDF自己的值表，该矩阵项会从V(0,2)≈-0.806756改为V(0,0)=0。此变化发生在均衡支撑内部，足以推翻后续方程与混合概率。</w:t>
      </w:r>
    </w:p>
    <w:p>
      <w:pPr>
        <w:pStyle w:val="Heading2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26"/>
        </w:rPr>
        <w:t>直接反例：封顶6不是无害约简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原本允许玩家继续锻造并持有超过6锻。例如在(7,6)时双方同出虚无，各支付6锻且同级攻击不会击败对方，随后应留下(1,0)。PDF的状态空间不能表示(7,6)，更会把对应封顶局面处理成(6,6)后转移到(0,0)。除非先证明严格的状态等价关系，否则不能从‘最高攻击费用为6’推出‘能量上限为6’。</w:t>
      </w: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数学严谨性审查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唯一性与收敛：</w:t>
      </w:r>
      <w:r>
        <w:rPr>
          <w:rFonts w:ascii="Calibri" w:hAnsi="Calibri" w:eastAsia="Microsoft YaHei"/>
          <w:color w:val="000000"/>
          <w:sz w:val="22"/>
        </w:rPr>
        <w:t>PDF只给数值核验，却声称Shapley方程有唯一不动点、从任意初值迭代均收敛。对未折扣且允许永久不吸收的随机博弈，这些结论需要专门证明。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胜率各半：</w:t>
      </w:r>
      <w:r>
        <w:rPr>
          <w:rFonts w:ascii="Calibri" w:hAnsi="Calibri" w:eastAsia="Microsoft YaHei"/>
          <w:color w:val="000000"/>
          <w:sz w:val="22"/>
        </w:rPr>
        <w:t>PDF承认存在永不吸收路径，却由V=0直接推出双方胜率均为1/2。若非吸收概率没有被证明为0，只能推出胜率与败率相等。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无根式闭式：</w:t>
      </w:r>
      <w:r>
        <w:rPr>
          <w:rFonts w:ascii="Calibri" w:hAnsi="Calibri" w:eastAsia="Microsoft YaHei"/>
          <w:color w:val="000000"/>
          <w:sz w:val="22"/>
        </w:rPr>
        <w:t>高次消元方程不能自动推出解为代数无理数或不存在根式表达；至少需要最小多项式、不可约性及相关伽罗瓦群证明。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数值验证边界：</w:t>
      </w:r>
      <w:r>
        <w:rPr>
          <w:rFonts w:ascii="Calibri" w:hAnsi="Calibri" w:eastAsia="Microsoft YaHei"/>
          <w:color w:val="000000"/>
          <w:sz w:val="22"/>
        </w:rPr>
        <w:t>高精度残差可以支持‘存在一个近似固定点’，不能单独证明全局唯一性。‘数值上独立核实唯一性’不符合严格证明标准。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状态计数笔误：</w:t>
      </w:r>
      <w:r>
        <w:rPr>
          <w:rFonts w:ascii="Calibri" w:hAnsi="Calibri" w:eastAsia="Microsoft YaHei"/>
          <w:color w:val="000000"/>
          <w:sz w:val="22"/>
        </w:rPr>
        <w:t>能量取0至6时共有7个对角状态，不是PDF第4页所写的6个。49状态应分解为7+21+21。</w:t>
      </w:r>
    </w:p>
    <w:p>
      <w:pPr>
        <w:pStyle w:val="Heading2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26"/>
        </w:rPr>
        <w:t>自设模型内部的数值复核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为避免把‘规则错误’误写成‘公式全错’，本次另按PDF自己的D1-D6模型重建了动作矩阵和后继状态。复核结果如下：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核验范围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  <w:keepLines/>
              <w:widowControl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10个非平凡上三角状态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按PDF给出的均衡支撑重新求解，状态值与混合概率均可复现，最大可见误差约2.2×10⁻¹⁶。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11个值为1的状态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PDF列出的纯动作确能对所有对方合法动作保证收益1。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7个对角状态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动作矩阵均满足反对称性，矩阵博弈值为0。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/>
                <w:color w:val="000000"/>
                <w:sz w:val="21"/>
              </w:rPr>
              <w:t>21个下三角状态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  <w:keepLines/>
              <w:widowControl/>
            </w:pPr>
            <w:r>
              <w:rPr>
                <w:rFonts w:ascii="Calibri" w:hAnsi="Calibri" w:eastAsia="Microsoft YaHei"/>
                <w:b w:val="0"/>
                <w:color w:val="000000"/>
                <w:sz w:val="21"/>
              </w:rPr>
              <w:t>可由V(eA,eB)=-V(eB,eA)补全。</w:t>
            </w:r>
          </w:p>
        </w:tc>
      </w:tr>
    </w:tbl>
    <w:p>
      <w:pPr>
        <w:spacing w:after="120" w:line="264" w:lineRule="auto"/>
        <w:keepLines/>
        <w:widowControl/>
      </w:pPr>
      <w:r>
        <w:rPr>
          <w:rFonts w:ascii="Calibri" w:hAnsi="Calibri" w:eastAsia="Microsoft YaHei"/>
          <w:b/>
          <w:color w:val="000000"/>
          <w:sz w:val="22"/>
        </w:rPr>
        <w:t>因此可以确认：</w:t>
      </w:r>
      <w:r>
        <w:rPr>
          <w:rFonts w:ascii="Calibri" w:hAnsi="Calibri" w:eastAsia="Microsoft YaHei"/>
          <w:color w:val="000000"/>
          <w:sz w:val="22"/>
        </w:rPr>
        <w:t>所列数值构成PDF自设有限模型的一个内部一致固定点；这不等于它是原本规则下的值，也不等于PDF已经证明该固定点唯一。</w:t>
      </w: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PDF成品与发布质量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八页均没有可提取的文字层，全文无法搜索、复制或被常规辅助阅读工具读取；PDF也未加结构标签。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页眉保留‘answer’和生成时间，页脚泄露本机临时HTML路径及用户名Administrator；文档元数据作者同样为Administrator。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第8页仅有短结语，余下大面积空白，分页控制欠佳。</w:t>
      </w:r>
    </w:p>
    <w:p>
      <w:pPr>
        <w:numPr>
          <w:ilvl w:val="0"/>
          <w:numId w:val="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公式和表格逐页渲染后未发现明显裁切、重叠或缺字，视觉可读性尚可。</w:t>
      </w: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最低整改要求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建立逐条的‘原本语句→模型状态、动作、转移’映射；不得再用未附正文的D1-D6裁决替代原本。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把接或闪成功后的后继状态严格改为双方(0,0)，并重新生成所有受影响的支付矩阵。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删除能量上限；若希望有限化，必须先证明有限状态商与原规则在策略和收益上严格等价。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就初始锻数、一次击败是否终局、生命/伤害制度、非吸收路径收益和采用何种博弈值取得明确裁定。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在获授权的新模型上全部重算，并提供可复现代码、动作矩阵、均衡支撑和不等式证书。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删除或证明‘唯一不动点’‘胜率各半’‘不存在根式闭式’等高强度表述。</w:t>
      </w:r>
    </w:p>
    <w:p>
      <w:pPr>
        <w:numPr>
          <w:ilvl w:val="0"/>
          <w:numId w:val="11"/>
        </w:numPr>
        <w:spacing w:before="0" w:after="160" w:line="280" w:lineRule="auto"/>
        <w:keepLines/>
        <w:widowControl/>
      </w:pPr>
      <w:r>
        <w:rPr>
          <w:rFonts w:ascii="Calibri" w:hAnsi="Calibri" w:eastAsia="Microsoft YaHei"/>
          <w:color w:val="000000"/>
          <w:sz w:val="22"/>
        </w:rPr>
        <w:t>重新导出带可搜索文字层和结构标签的PDF，清理页眉、临时路径、用户名及个人元数据。</w:t>
      </w:r>
    </w:p>
    <w:p>
      <w:pPr>
        <w:pStyle w:val="Heading1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32"/>
        </w:rPr>
        <w:t>最终处置意见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space="0" w:color="9B1C1C"/>
          <w:left w:val="single" w:sz="10" w:space="0" w:color="9B1C1C"/>
          <w:bottom w:val="single" w:sz="10" w:space="0" w:color="9B1C1C"/>
          <w:right w:val="single" w:sz="10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140" w:type="dxa"/>
              <w:bottom w:w="140" w:type="dxa"/>
              <w:start w:w="180" w:type="dxa"/>
              <w:end w:w="180" w:type="dxa"/>
            </w:tcMar>
            <w:shd w:fill="FFF4F4"/>
          </w:tcPr>
          <w:p>
            <w:pPr>
              <w:spacing w:before="0" w:after="0" w:line="276" w:lineRule="auto"/>
              <w:keepLines/>
              <w:widowControl/>
            </w:pPr>
            <w:r>
              <w:rPr>
                <w:rFonts w:ascii="Calibri" w:hAnsi="Calibri" w:eastAsia="Microsoft YaHei"/>
                <w:b/>
                <w:color w:val="9B1C1C"/>
                <w:sz w:val="22"/>
              </w:rPr>
              <w:t xml:space="preserve">处置： </w:t>
            </w:r>
            <w:r>
              <w:rPr>
                <w:rFonts w:ascii="Calibri" w:hAnsi="Calibri" w:eastAsia="Microsoft YaHei"/>
                <w:b w:val="0"/>
                <w:color w:val="0B2545"/>
                <w:sz w:val="22"/>
              </w:rPr>
              <w:t>在完成规则重建和全量重算前，不应以“经典合掌的精确解析解”“依据《合掌学基础》所得结论”等名义发布、引用或用于规则裁定。</w:t>
            </w:r>
          </w:p>
        </w:tc>
      </w:tr>
    </w:tbl>
    <w:p>
      <w:pPr>
        <w:spacing w:after="40" w:line="120" w:lineRule="auto"/>
      </w:pP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若保留现有计算，建议改题为《D1-D6有限封顶变体的数值均衡分析》，并在首页明确声明：该模型含有能量封顶6、接闪不清零和一次命中即终局等变体规则，不代表《合掌学基础》的经典规则。</w:t>
      </w:r>
    </w:p>
    <w:p>
      <w:pPr>
        <w:pStyle w:val="Heading2"/>
        <w:keepNext/>
        <w:keepLines/>
        <w:widowControl/>
      </w:pPr>
      <w:r>
        <w:rPr>
          <w:rFonts w:ascii="Calibri" w:hAnsi="Calibri" w:eastAsia="Microsoft YaHei"/>
          <w:b/>
          <w:color w:val="2E74B5"/>
          <w:sz w:val="26"/>
        </w:rPr>
        <w:t>审查依据与核验说明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规则原本：《合掌学基础》.docx，第1至2页。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审查对象：《合掌.pdf》，第1至8页。</w:t>
      </w:r>
    </w:p>
    <w:p>
      <w:pPr>
        <w:spacing w:after="120" w:line="264" w:lineRule="auto"/>
        <w:widowControl/>
      </w:pPr>
      <w:r>
        <w:rPr>
          <w:rFonts w:ascii="Calibri" w:hAnsi="Calibri" w:eastAsia="Microsoft YaHei"/>
          <w:color w:val="000000"/>
          <w:sz w:val="22"/>
        </w:rPr>
        <w:t>核验方式：提取原本全文；逐页渲染检查两份文件；按PDF所述动作、费用、覆盖与转移规则独立重建49状态有限模型，并复核其均衡支撑、状态值、对称性和发布版式。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 / 共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7"/>
      </w:rPr>
      <w:t>《合掌.pdf》严格审查结论</w:t>
    </w:r>
    <w:r>
      <w:rPr>
        <w:rFonts w:ascii="Calibri" w:hAnsi="Calibri" w:eastAsia="Microsoft YaHei"/>
        <w:color w:val="667085"/>
        <w:sz w:val="17"/>
      </w:rPr>
      <w:t xml:space="preserve">    规则审查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《合掌.pdf》严格审查结论</dc:title>
  <dc:subject>以《合掌学基础》为唯一规则原本的严格审查</dc:subject>
  <dc:creator/>
  <cp:keywords>合掌, 规则审查, PDF, 数学模型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