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555555"/>
          <w:sz w:val="18"/>
        </w:rPr>
        <w:t>International Journal of Advanced Research in Computer Science &amp; Engineering (IJARCSE) — 2025</w:t>
      </w:r>
    </w:p>
    <w:p/>
    <w:p>
      <w:pPr>
        <w:spacing w:after="320"/>
        <w:jc w:val="center"/>
      </w:pPr>
      <w:r>
        <w:rPr>
          <w:b/>
          <w:color w:val="0D47A1"/>
          <w:sz w:val="34"/>
        </w:rPr>
        <w:t>AI-Powered Multilingual Government Grievance Portal:</w:t>
        <w:br/>
        <w:t>Bridging the Gap Between Citizens and Public Administration</w:t>
        <w:br/>
        <w:t>Using Natural Language Processing and Machine Learning</w:t>
      </w:r>
    </w:p>
    <w:p>
      <w:pPr>
        <w:spacing w:before="0" w:after="0"/>
        <w:pBdr>
          <w:bottom w:val="single" w:sz="6" w:space="1" w:color="1565C0"/>
        </w:pBdr>
      </w:pPr>
    </w:p>
    <w:p>
      <w:pPr>
        <w:spacing w:before="200"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024"/>
          </w:tcPr>
          <w:p/>
          <w:p>
            <w:pPr>
              <w:spacing w:before="0" w:after="20"/>
              <w:jc w:val="center"/>
            </w:pPr>
            <w:r>
              <w:rPr>
                <w:b/>
                <w:i w:val="0"/>
                <w:color w:val="0D47A1"/>
                <w:sz w:val="22"/>
              </w:rPr>
              <w:t>Dr. G. Pandiyarajan</w:t>
            </w:r>
          </w:p>
          <w:p>
            <w:pPr>
              <w:spacing w:before="0" w:after="0"/>
              <w:jc w:val="center"/>
            </w:pPr>
            <w:r>
              <w:rPr>
                <w:b w:val="0"/>
                <w:i/>
                <w:sz w:val="19"/>
              </w:rPr>
              <w:t>Department of Computer Science</w:t>
              <w:br/>
              <w:t>and Engineering</w:t>
              <w:br/>
              <w:t>(AI &amp; Machine Learning)</w:t>
            </w:r>
          </w:p>
          <w:p>
            <w:pPr>
              <w:spacing w:before="0" w:after="0"/>
              <w:jc w:val="center"/>
            </w:pPr>
            <w:r>
              <w:rPr>
                <w:b w:val="0"/>
                <w:i/>
                <w:sz w:val="19"/>
              </w:rPr>
              <w:t>KPR Institute of Engineering and</w:t>
              <w:br/>
              <w:t>Technology</w:t>
            </w:r>
          </w:p>
          <w:p>
            <w:pPr>
              <w:spacing w:before="0" w:after="0"/>
              <w:jc w:val="center"/>
            </w:pPr>
            <w:r>
              <w:rPr>
                <w:b w:val="0"/>
                <w:i/>
                <w:sz w:val="19"/>
              </w:rPr>
              <w:t>Coimbatore, Tamil Nadu, India</w:t>
            </w:r>
          </w:p>
          <w:p>
            <w:pPr>
              <w:spacing w:before="0" w:after="0"/>
              <w:jc w:val="center"/>
            </w:pPr>
            <w:r>
              <w:rPr>
                <w:b w:val="0"/>
                <w:i/>
                <w:color w:val="1565C0"/>
                <w:sz w:val="18"/>
              </w:rPr>
              <w:t>Email: pandiyarajan.g@kpriet.ac.in</w:t>
            </w:r>
          </w:p>
        </w:tc>
        <w:tc>
          <w:tcPr>
            <w:tcW w:type="dxa" w:w="3024"/>
          </w:tcPr>
          <w:p/>
          <w:p>
            <w:pPr>
              <w:spacing w:before="0" w:after="20"/>
              <w:jc w:val="center"/>
            </w:pPr>
            <w:r>
              <w:rPr>
                <w:b/>
                <w:i w:val="0"/>
                <w:color w:val="0D47A1"/>
                <w:sz w:val="22"/>
              </w:rPr>
              <w:t>Midun P</w:t>
            </w:r>
          </w:p>
          <w:p>
            <w:pPr>
              <w:spacing w:before="0" w:after="0"/>
              <w:jc w:val="center"/>
            </w:pPr>
            <w:r>
              <w:rPr>
                <w:b w:val="0"/>
                <w:i/>
                <w:sz w:val="19"/>
              </w:rPr>
              <w:t>Department of Computer Science</w:t>
              <w:br/>
              <w:t>and Engineering</w:t>
              <w:br/>
              <w:t>(AI &amp; Machine Learning)</w:t>
            </w:r>
          </w:p>
          <w:p>
            <w:pPr>
              <w:spacing w:before="0" w:after="0"/>
              <w:jc w:val="center"/>
            </w:pPr>
            <w:r>
              <w:rPr>
                <w:b w:val="0"/>
                <w:i/>
                <w:sz w:val="19"/>
              </w:rPr>
              <w:t>KPR Institute of Engineering and</w:t>
              <w:br/>
              <w:t>Technology</w:t>
            </w:r>
          </w:p>
          <w:p>
            <w:pPr>
              <w:spacing w:before="0" w:after="0"/>
              <w:jc w:val="center"/>
            </w:pPr>
            <w:r>
              <w:rPr>
                <w:b w:val="0"/>
                <w:i/>
                <w:sz w:val="19"/>
              </w:rPr>
              <w:t>Coimbatore, Tamil Nadu, India</w:t>
            </w:r>
          </w:p>
          <w:p>
            <w:pPr>
              <w:spacing w:before="0" w:after="0"/>
              <w:jc w:val="center"/>
            </w:pPr>
            <w:r>
              <w:rPr>
                <w:b w:val="0"/>
                <w:i/>
                <w:color w:val="1565C0"/>
                <w:sz w:val="18"/>
              </w:rPr>
              <w:t>Email: 23am034@kpriet.ac.in</w:t>
            </w:r>
          </w:p>
        </w:tc>
        <w:tc>
          <w:tcPr>
            <w:tcW w:type="dxa" w:w="3024"/>
          </w:tcPr>
          <w:p/>
          <w:p>
            <w:pPr>
              <w:spacing w:before="0" w:after="20"/>
              <w:jc w:val="center"/>
            </w:pPr>
            <w:r>
              <w:rPr>
                <w:b/>
                <w:i w:val="0"/>
                <w:color w:val="0D47A1"/>
                <w:sz w:val="22"/>
              </w:rPr>
              <w:t>Pradeesh Kumar U</w:t>
            </w:r>
          </w:p>
          <w:p>
            <w:pPr>
              <w:spacing w:before="0" w:after="0"/>
              <w:jc w:val="center"/>
            </w:pPr>
            <w:r>
              <w:rPr>
                <w:b w:val="0"/>
                <w:i/>
                <w:sz w:val="19"/>
              </w:rPr>
              <w:t>Department of Computer Science</w:t>
              <w:br/>
              <w:t>and Engineering</w:t>
              <w:br/>
              <w:t>(AI &amp; Machine Learning)</w:t>
            </w:r>
          </w:p>
          <w:p>
            <w:pPr>
              <w:spacing w:before="0" w:after="0"/>
              <w:jc w:val="center"/>
            </w:pPr>
            <w:r>
              <w:rPr>
                <w:b w:val="0"/>
                <w:i/>
                <w:sz w:val="19"/>
              </w:rPr>
              <w:t>KPR Institute of Engineering and</w:t>
              <w:br/>
              <w:t>Technology</w:t>
            </w:r>
          </w:p>
          <w:p>
            <w:pPr>
              <w:spacing w:before="0" w:after="0"/>
              <w:jc w:val="center"/>
            </w:pPr>
            <w:r>
              <w:rPr>
                <w:b w:val="0"/>
                <w:i/>
                <w:sz w:val="19"/>
              </w:rPr>
              <w:t>Coimbatore, Tamil Nadu, India</w:t>
            </w:r>
          </w:p>
          <w:p>
            <w:pPr>
              <w:spacing w:before="0" w:after="0"/>
              <w:jc w:val="center"/>
            </w:pPr>
            <w:r>
              <w:rPr>
                <w:b w:val="0"/>
                <w:i/>
                <w:color w:val="1565C0"/>
                <w:sz w:val="18"/>
              </w:rPr>
              <w:t>Email: 23am044@kpriet.ac.in</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135"/>
          </w:tcPr>
          <w:p/>
        </w:tc>
        <w:tc>
          <w:tcPr>
            <w:tcW w:type="dxa" w:w="3024"/>
          </w:tcPr>
          <w:p/>
          <w:p>
            <w:pPr>
              <w:spacing w:before="0" w:after="20"/>
              <w:jc w:val="center"/>
            </w:pPr>
            <w:r>
              <w:rPr>
                <w:b/>
                <w:i w:val="0"/>
                <w:color w:val="0D47A1"/>
                <w:sz w:val="22"/>
              </w:rPr>
              <w:t>Asok Kumar S</w:t>
            </w:r>
          </w:p>
          <w:p>
            <w:pPr>
              <w:spacing w:before="0" w:after="0"/>
              <w:jc w:val="center"/>
            </w:pPr>
            <w:r>
              <w:rPr>
                <w:b w:val="0"/>
                <w:i/>
                <w:sz w:val="19"/>
              </w:rPr>
              <w:t>Department of Computer Science</w:t>
              <w:br/>
              <w:t>and Engineering</w:t>
              <w:br/>
              <w:t>(AI &amp; Machine Learning)</w:t>
            </w:r>
          </w:p>
          <w:p>
            <w:pPr>
              <w:spacing w:before="0" w:after="0"/>
              <w:jc w:val="center"/>
            </w:pPr>
            <w:r>
              <w:rPr>
                <w:b w:val="0"/>
                <w:i/>
                <w:sz w:val="19"/>
              </w:rPr>
              <w:t>KPR Institute of Engineering and</w:t>
              <w:br/>
              <w:t>Technology</w:t>
            </w:r>
          </w:p>
          <w:p>
            <w:pPr>
              <w:spacing w:before="0" w:after="0"/>
              <w:jc w:val="center"/>
            </w:pPr>
            <w:r>
              <w:rPr>
                <w:b w:val="0"/>
                <w:i/>
                <w:sz w:val="19"/>
              </w:rPr>
              <w:t>Coimbatore, Tamil Nadu, India</w:t>
            </w:r>
          </w:p>
          <w:p>
            <w:pPr>
              <w:spacing w:before="0" w:after="0"/>
              <w:jc w:val="center"/>
            </w:pPr>
            <w:r>
              <w:rPr>
                <w:b w:val="0"/>
                <w:i/>
                <w:color w:val="1565C0"/>
                <w:sz w:val="18"/>
              </w:rPr>
              <w:t>Email: 23am008@kpriet.ac.in</w:t>
            </w:r>
          </w:p>
        </w:tc>
        <w:tc>
          <w:tcPr>
            <w:tcW w:type="dxa" w:w="3135"/>
          </w:tcPr>
          <w:p/>
        </w:tc>
      </w:tr>
    </w:tbl>
    <w:p/>
    <w:p>
      <w:pPr>
        <w:spacing w:before="0" w:after="0"/>
        <w:pBdr>
          <w:bottom w:val="single" w:sz="6" w:space="1" w:color="1565C0"/>
        </w:pBdr>
      </w:pPr>
    </w:p>
    <w:p/>
    <w:p>
      <w:pPr>
        <w:jc w:val="center"/>
      </w:pPr>
      <w:r>
        <w:rPr>
          <w:b/>
          <w:color w:val="1565C0"/>
          <w:sz w:val="22"/>
        </w:rPr>
        <w:t>ABSTRACT</w:t>
      </w:r>
    </w:p>
    <w:p>
      <w:pPr>
        <w:spacing w:after="160"/>
        <w:ind w:left="454" w:right="454"/>
        <w:jc w:val="both"/>
      </w:pPr>
      <w:r>
        <w:rPr>
          <w:sz w:val="20"/>
        </w:rPr>
        <w:t>A persistent and structurally entrenched challenge in democratic governance is the absence of an efficient, equitable, and linguistically inclusive channel through which citizens can formally communicate their grievances to the relevant administrative authorities. In a linguistically diverse nation such as India, this challenge is further compounded by language barriers that systematically disadvantage citizens whose primary language is not English. This paper presents the design, implementation, and rigorous empirical evaluation of an AI-Powered Multilingual Government Grievance Portal — a full-stack, end-to-end intelligent public service system that accepts, classifies, prioritises, deduplicates, and routes citizen complaints expressed in English, Hindi, Tamil, or Telugu with sub-second processing latency. The system's AI core is a nine-phase machine learning pipeline that chains: (i) Unicode-heuristic and langdetect-based language identification, (ii) a Dual TF-IDF Soft-Voting Ensemble classifier comprising Logistic Regression, Calibrated LinearSVC, and SGDClassifier over five public administration categories, (iii) a cosine-similarity duplicate detection engine using SentenceTransformer embeddings with a TF-IDF fallback, (iv) a hybrid rule-and-ML priority predictor encoding four urgency levels (Critical, High, Medium, Low), (v) an SLA-aware automatic department routing engine, and (vi) a natural-language explainability generator. The system achieves a Classification Macro-F1 of 1.000 (100%) on the held-out test set across all three languages, a Department Routing Accuracy of 100.0%, and a Priority Prediction Macro-F1 of 0.7393. A formal language-fairness audit confirms a maximum disparity score of 8.3%, well within the 15% equity threshold. The backend is an Express.js REST server with a write-mutex-guarded persistent JSON store, serving a glassmorphic, voice-enabled, multilingual Single-Page Application frontend. The proposed system represents a practically deployable technology for the digital transformation of citizen redressal in India and other multicultural, multilingual democracies.</w:t>
      </w:r>
    </w:p>
    <w:p>
      <w:pPr>
        <w:spacing w:after="280"/>
        <w:ind w:left="454" w:right="454"/>
      </w:pPr>
      <w:r>
        <w:rPr>
          <w:b/>
          <w:sz w:val="20"/>
        </w:rPr>
        <w:t xml:space="preserve">Keywords — </w:t>
      </w:r>
      <w:r>
        <w:rPr>
          <w:i/>
          <w:sz w:val="20"/>
        </w:rPr>
        <w:t>Multilingual NLP, Government Grievance Portal, Text Classification, Ensemble Learning, Language Fairness, TF-IDF, SentenceTransformer, e-Governance, Citizen Redressal, Priority Prediction</w:t>
      </w:r>
    </w:p>
    <w:p>
      <w:pPr>
        <w:spacing w:before="0" w:after="0"/>
        <w:pBdr>
          <w:bottom w:val="single" w:sz="6" w:space="1" w:color="1565C0"/>
        </w:pBdr>
      </w:pPr>
    </w:p>
    <w:p>
      <w:pPr>
        <w:spacing w:before="280" w:after="80"/>
      </w:pPr>
      <w:r>
        <w:rPr>
          <w:b/>
          <w:color w:val="1565C0"/>
          <w:sz w:val="24"/>
        </w:rPr>
        <w:t>I. INTRODUCTION</w:t>
      </w:r>
    </w:p>
    <w:p>
      <w:pPr>
        <w:spacing w:before="60" w:after="120"/>
        <w:jc w:val="both"/>
      </w:pPr>
      <w:r>
        <w:rPr>
          <w:sz w:val="21"/>
        </w:rPr>
        <w:t>The relationship between a government and its citizens is fundamentally mediated by the quality and accessibility of public service delivery mechanisms. In India, a nation of 1.4 billion people speaking over 22 scheduled languages and hundreds of dialects, the traditional grievance redressal system — characterised by manual submission, paper-based routing, language-opaque processing, and opaque resolution timelines — is profoundly inadequate. Studies by the Department of Administrative Reforms and Public Grievances (DARPG) indicate that a substantial proportion of registered complaints either go unresolved within their prescribed Service Level Agreement (SLA) windows or are incorrectly forwarded to non-competent departments, leading to citizen frustration, erosion of institutional trust, and systemic inefficiency [1].</w:t>
      </w:r>
    </w:p>
    <w:p>
      <w:pPr>
        <w:spacing w:before="60" w:after="120"/>
        <w:jc w:val="both"/>
      </w:pPr>
      <w:r>
        <w:rPr>
          <w:sz w:val="21"/>
        </w:rPr>
        <w:t>The National e-Governance Plan (NeGP) and the subsequent Digital India initiative have made significant investments in digitising public service delivery; however, the application of modern Natural Language Processing (NLP) and Machine Learning (ML) to the specific domain of multilingual grievance management remains an open research and engineering challenge. Existing portals such as CPGRAMS (Centralised Public Grievance Redress and Monitoring System) require complaints to be submitted in English and depend heavily on manual classification, creating a de facto literacy and language barrier for a significant fraction of the population [2].</w:t>
      </w:r>
    </w:p>
    <w:p>
      <w:pPr>
        <w:spacing w:before="60" w:after="120"/>
        <w:jc w:val="both"/>
      </w:pPr>
      <w:r>
        <w:rPr>
          <w:sz w:val="21"/>
        </w:rPr>
        <w:t>This paper addresses this gap by presenting a comprehensive, production-deployable, AI-powered multilingual government grievance portal. The proposed system makes the following principal contributions:</w:t>
      </w:r>
    </w:p>
    <w:p>
      <w:pPr>
        <w:pStyle w:val="ListBullet"/>
        <w:spacing w:before="20" w:after="40"/>
      </w:pPr>
      <w:r>
        <w:rPr>
          <w:b/>
          <w:sz w:val="21"/>
        </w:rPr>
        <w:t xml:space="preserve">[C1] </w:t>
      </w:r>
      <w:r>
        <w:rPr>
          <w:sz w:val="21"/>
        </w:rPr>
        <w:t>A nine-phase AI pipeline capable of processing complaints in English, Hindi, and Tamil with a unified Macro-F1 of 1.000 on a held-out, leakage-free test set.</w:t>
      </w:r>
    </w:p>
    <w:p>
      <w:pPr>
        <w:pStyle w:val="ListBullet"/>
        <w:spacing w:before="20" w:after="40"/>
      </w:pPr>
      <w:r>
        <w:rPr>
          <w:b/>
          <w:sz w:val="21"/>
        </w:rPr>
        <w:t xml:space="preserve">[C2] </w:t>
      </w:r>
      <w:r>
        <w:rPr>
          <w:sz w:val="21"/>
        </w:rPr>
        <w:t>A Dual TF-IDF Soft-Voting Ensemble (Logistic Regression + Calibrated LinearSVC + SGDClassifier) for complaint category classification across five municipal service domains.</w:t>
      </w:r>
    </w:p>
    <w:p>
      <w:pPr>
        <w:pStyle w:val="ListBullet"/>
        <w:spacing w:before="20" w:after="40"/>
      </w:pPr>
      <w:r>
        <w:rPr>
          <w:b/>
          <w:sz w:val="21"/>
        </w:rPr>
        <w:t xml:space="preserve">[C3] </w:t>
      </w:r>
      <w:r>
        <w:rPr>
          <w:sz w:val="21"/>
        </w:rPr>
        <w:t>A hybrid rule-and-ML priority prediction engine with an integrated language-fairness audit mechanism confirming equitable treatment across all supported languages.</w:t>
      </w:r>
    </w:p>
    <w:p>
      <w:pPr>
        <w:pStyle w:val="ListBullet"/>
        <w:spacing w:before="20" w:after="40"/>
      </w:pPr>
      <w:r>
        <w:rPr>
          <w:b/>
          <w:sz w:val="21"/>
        </w:rPr>
        <w:t xml:space="preserve">[C4] </w:t>
      </w:r>
      <w:r>
        <w:rPr>
          <w:sz w:val="21"/>
        </w:rPr>
        <w:t>An SLA-aware automatic department routing engine ensuring zero-latency dispatch to the correct administrative department.</w:t>
      </w:r>
    </w:p>
    <w:p>
      <w:pPr>
        <w:pStyle w:val="ListBullet"/>
        <w:spacing w:before="20" w:after="40"/>
      </w:pPr>
      <w:r>
        <w:rPr>
          <w:b/>
          <w:sz w:val="21"/>
        </w:rPr>
        <w:t xml:space="preserve">[C5] </w:t>
      </w:r>
      <w:r>
        <w:rPr>
          <w:sz w:val="21"/>
        </w:rPr>
        <w:t>A scalable, concurrent full-stack deployment architecture pairing an Express.js REST backend with a multilingual, voice-enabled, glassmorphic Single-Page Application (SPA) frontend.</w:t>
      </w:r>
    </w:p>
    <w:p>
      <w:pPr>
        <w:spacing w:before="60" w:after="120"/>
        <w:jc w:val="both"/>
      </w:pPr>
      <w:r>
        <w:rPr>
          <w:sz w:val="21"/>
        </w:rPr>
        <w:t>The remainder of this paper is structured as follows: Section II reviews relevant prior art. Section III details the system architecture and nine-phase AI pipeline methodology. Section IV presents the dataset and experimental setup. Section V reports and analyses the empirical results. Section VI discusses deployment considerations and societal impact. Section VII concludes with directions for future work.</w:t>
      </w:r>
    </w:p>
    <w:p>
      <w:pPr>
        <w:spacing w:before="280" w:after="80"/>
      </w:pPr>
      <w:r>
        <w:rPr>
          <w:b/>
          <w:color w:val="1565C0"/>
          <w:sz w:val="24"/>
        </w:rPr>
        <w:t>II. RELATED WORK</w:t>
      </w:r>
    </w:p>
    <w:p>
      <w:pPr>
        <w:spacing w:before="60" w:after="120"/>
        <w:jc w:val="both"/>
      </w:pPr>
      <w:r>
        <w:rPr>
          <w:sz w:val="21"/>
        </w:rPr>
        <w:t>Research at the intersection of NLP, e-governance, and citizen services has accelerated considerably in the past decade, driven by the availability of pre-trained multilingual language models and large-scale annotated corpora.</w:t>
      </w:r>
    </w:p>
    <w:p>
      <w:pPr>
        <w:spacing w:before="280" w:after="80"/>
      </w:pPr>
      <w:r>
        <w:rPr>
          <w:b/>
          <w:color w:val="0288D1"/>
          <w:sz w:val="22"/>
        </w:rPr>
        <w:t>A. Text Classification in Public Administration</w:t>
      </w:r>
    </w:p>
    <w:p>
      <w:pPr>
        <w:spacing w:before="60" w:after="120"/>
        <w:jc w:val="both"/>
      </w:pPr>
      <w:r>
        <w:rPr>
          <w:sz w:val="21"/>
        </w:rPr>
        <w:t>Rao et al. [3] applied Support Vector Machines to classify public petitions filed with the Indian Prime Minister's Office, achieving 87.3% accuracy over seven broad categories using TF-IDF representations. Subsequent work by Meesala and Gupta [4] demonstrated that Logistic Regression with n-gram features outperforms SVMs for short, noisy text typical of citizen complaints. These findings informed our choice of an ensemble combining both model families with soft-voting probability aggregation.</w:t>
      </w:r>
    </w:p>
    <w:p>
      <w:pPr>
        <w:spacing w:before="280" w:after="80"/>
      </w:pPr>
      <w:r>
        <w:rPr>
          <w:b/>
          <w:color w:val="0288D1"/>
          <w:sz w:val="22"/>
        </w:rPr>
        <w:t>B. Multilingual NLP for Indian Languages</w:t>
      </w:r>
    </w:p>
    <w:p>
      <w:pPr>
        <w:spacing w:before="60" w:after="120"/>
        <w:jc w:val="both"/>
      </w:pPr>
      <w:r>
        <w:rPr>
          <w:sz w:val="21"/>
        </w:rPr>
        <w:t>The introduction of MuRIL (Multilingual Representations for Indian Languages) by Khanuja et al. [5] represents a landmark in cross-lingual understanding for Hindi, Tamil, Telugu, and other Indian languages. Similarly, IndicBERT [6] provides compact transformer representations tuned on Indic corpora. While our current production system uses TF-IDF with character n-grams for computational efficiency and interpretability, the architecture explicitly supports a future transition to MuRIL fine-tuning, as documented in the system's ML handover guide. For multilingual sentence-level semantic similarity in duplicate detection, we employ the paraphrase-multilingual-mpnet-base-v2 model [7], which was specifically optimised for cross-lingual retrieval tasks.</w:t>
      </w:r>
    </w:p>
    <w:p>
      <w:pPr>
        <w:spacing w:before="280" w:after="80"/>
      </w:pPr>
      <w:r>
        <w:rPr>
          <w:b/>
          <w:color w:val="0288D1"/>
          <w:sz w:val="22"/>
        </w:rPr>
        <w:t>C. Grievance Management Systems</w:t>
      </w:r>
    </w:p>
    <w:p>
      <w:pPr>
        <w:spacing w:before="60" w:after="120"/>
        <w:jc w:val="both"/>
      </w:pPr>
      <w:r>
        <w:rPr>
          <w:sz w:val="21"/>
        </w:rPr>
        <w:t>Mukherjee et al. [8] conducted a comprehensive audit of India's CPGRAMS system and identified three systemic failure modes: language inaccessibility, manual mis-routing (estimated ~23% error rate), and opaque SLA tracking. Sharma and Jain [9] proposed a rule-based Hindi complaint router for municipal services but noted its brittleness to informal language, code-mixing (Hinglish), and regional dialectal variation. Our system addresses these limitations by (a) leveraging Unicode-range heuristics to handle code-mixed inputs, and (b) using a data-driven ensemble rather than manually curated rule sets.</w:t>
      </w:r>
    </w:p>
    <w:p>
      <w:pPr>
        <w:spacing w:before="280" w:after="80"/>
      </w:pPr>
      <w:r>
        <w:rPr>
          <w:b/>
          <w:color w:val="0288D1"/>
          <w:sz w:val="22"/>
        </w:rPr>
        <w:t>D. Priority and Urgency Classification</w:t>
      </w:r>
    </w:p>
    <w:p>
      <w:pPr>
        <w:spacing w:before="60" w:after="120"/>
        <w:jc w:val="both"/>
      </w:pPr>
      <w:r>
        <w:rPr>
          <w:sz w:val="21"/>
        </w:rPr>
        <w:t>Kulkarni et al. [10] proposed a sentiment-to-urgency mapping framework for municipal complaint triage, demonstrating that a hybrid model—combining lexical urgency signals with a trained classifier—significantly outperforms either approach alone. Our Priority Predictor directly implements this hybrid paradigm: a multilingual keyword safety-net runs first, overriding the ML model when critical or high-severity triggers are detected in the compliant text, followed by a Calibrated LinearSVC for the remaining cases.</w:t>
      </w:r>
    </w:p>
    <w:p>
      <w:pPr>
        <w:spacing w:before="280" w:after="80"/>
      </w:pPr>
      <w:r>
        <w:rPr>
          <w:b/>
          <w:color w:val="1565C0"/>
          <w:sz w:val="24"/>
        </w:rPr>
        <w:t>III. SYSTEM DESIGN AND METHODOLOGY</w:t>
      </w:r>
    </w:p>
    <w:p>
      <w:pPr>
        <w:spacing w:before="280" w:after="80"/>
      </w:pPr>
      <w:r>
        <w:rPr>
          <w:b/>
          <w:color w:val="0288D1"/>
          <w:sz w:val="22"/>
        </w:rPr>
        <w:t>A. System Architecture Overview</w:t>
      </w:r>
    </w:p>
    <w:p>
      <w:pPr>
        <w:spacing w:before="60" w:after="120"/>
        <w:jc w:val="both"/>
      </w:pPr>
      <w:r>
        <w:rPr>
          <w:sz w:val="21"/>
        </w:rPr>
        <w:t>The system employs a hybrid Node.js + Python architecture optimized for production deployment. The frontend is a multilingual Single-Page Application (SPA) built with Vanilla JavaScript and CSS, featuring glassmorphic design, real-time status tracking, and browser-native speech-to-text input. The backend is a canonical Express.js server (server.js, Port 3000) exposing a RESTful API. Upon grievance submission, the Express server spawns a Python subprocess invoking the AI pipeline bridge (run_pipeline_bridge.py), which orchestrates the nine-phase Python ML pipeline (pipeline.py) and returns a structured JSON result in sub-second latency.</w:t>
      </w:r>
    </w:p>
    <w:p>
      <w:pPr>
        <w:jc w:val="center"/>
      </w:pPr>
      <w:r>
        <w:drawing>
          <wp:inline xmlns:a="http://schemas.openxmlformats.org/drawingml/2006/main" xmlns:pic="http://schemas.openxmlformats.org/drawingml/2006/picture">
            <wp:extent cx="5303520" cy="307515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3075150"/>
                    </a:xfrm>
                    <a:prstGeom prst="rect"/>
                  </pic:spPr>
                </pic:pic>
              </a:graphicData>
            </a:graphic>
          </wp:inline>
        </w:drawing>
      </w:r>
    </w:p>
    <w:p>
      <w:pPr>
        <w:spacing w:before="60" w:after="200"/>
        <w:jc w:val="center"/>
      </w:pPr>
      <w:r>
        <w:rPr>
          <w:i/>
          <w:color w:val="444444"/>
          <w:sz w:val="19"/>
        </w:rPr>
        <w:t>Fig. 1: System Architecture of the AI-Powered Multilingual Government Grievance Portal</w:t>
      </w:r>
    </w:p>
    <w:p>
      <w:pPr>
        <w:spacing w:before="60" w:after="120"/>
        <w:jc w:val="both"/>
      </w:pPr>
      <w:r>
        <w:rPr>
          <w:sz w:val="21"/>
        </w:rPr>
        <w:t>The database layer uses a file-backed JSON store (grievances_db.json) protected by a Promise-based write-mutex lock (withWriteLock), guaranteeing atomic read/write operations under high concurrency without requiring a dedicated database server, thus enabling lightweight deployment on commodity infrastructure.</w:t>
      </w:r>
    </w:p>
    <w:p>
      <w:pPr>
        <w:spacing w:before="280" w:after="80"/>
      </w:pPr>
      <w:r>
        <w:rPr>
          <w:b/>
          <w:color w:val="0288D1"/>
          <w:sz w:val="22"/>
        </w:rPr>
        <w:t>B. The Nine-Phase AI Pipeline</w:t>
      </w:r>
    </w:p>
    <w:p>
      <w:pPr>
        <w:spacing w:before="60" w:after="120"/>
        <w:jc w:val="both"/>
      </w:pPr>
      <w:r>
        <w:rPr>
          <w:sz w:val="21"/>
        </w:rPr>
        <w:t>The core intelligence of the system is encapsulated in a nine-phase orchestration pipeline defined in pipeline.py. Each phase is modular, independently testable, and designed with multi-tier fallback mechanisms to ensure robustness under minimal Python environments.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565C0"/>
          </w:tcPr>
          <w:p>
            <w:r>
              <w:rPr>
                <w:b/>
                <w:color w:val="FFFFFF"/>
                <w:sz w:val="19"/>
              </w:rPr>
              <w:t>Phase</w:t>
            </w:r>
          </w:p>
        </w:tc>
        <w:tc>
          <w:tcPr>
            <w:tcW w:type="dxa" w:w="3135"/>
            <w:shd w:val="clear" w:color="auto" w:fill="1565C0"/>
          </w:tcPr>
          <w:p>
            <w:r>
              <w:rPr>
                <w:b/>
                <w:color w:val="FFFFFF"/>
                <w:sz w:val="19"/>
              </w:rPr>
              <w:t>Component</w:t>
            </w:r>
          </w:p>
        </w:tc>
        <w:tc>
          <w:tcPr>
            <w:tcW w:type="dxa" w:w="3135"/>
            <w:shd w:val="clear" w:color="auto" w:fill="1565C0"/>
          </w:tcPr>
          <w:p>
            <w:r>
              <w:rPr>
                <w:b/>
                <w:color w:val="FFFFFF"/>
                <w:sz w:val="19"/>
              </w:rPr>
              <w:t>Implementation</w:t>
            </w:r>
          </w:p>
        </w:tc>
      </w:tr>
      <w:tr>
        <w:tc>
          <w:tcPr>
            <w:tcW w:type="dxa" w:w="3135"/>
          </w:tcPr>
          <w:p>
            <w:r>
              <w:rPr>
                <w:sz w:val="19"/>
              </w:rPr>
              <w:t>Phase 1</w:t>
            </w:r>
          </w:p>
        </w:tc>
        <w:tc>
          <w:tcPr>
            <w:tcW w:type="dxa" w:w="3135"/>
          </w:tcPr>
          <w:p>
            <w:r>
              <w:rPr>
                <w:sz w:val="19"/>
              </w:rPr>
              <w:t>Data Foundation</w:t>
            </w:r>
          </w:p>
        </w:tc>
        <w:tc>
          <w:tcPr>
            <w:tcW w:type="dxa" w:w="3135"/>
          </w:tcPr>
          <w:p>
            <w:r>
              <w:rPr>
                <w:sz w:val="19"/>
              </w:rPr>
              <w:t>Synthetic generator with zero train/val/test text leakage (815 train, 144 val, 144 test)</w:t>
            </w:r>
          </w:p>
        </w:tc>
      </w:tr>
      <w:tr>
        <w:tc>
          <w:tcPr>
            <w:tcW w:type="dxa" w:w="3135"/>
          </w:tcPr>
          <w:p>
            <w:r>
              <w:rPr>
                <w:sz w:val="19"/>
              </w:rPr>
              <w:t>Phase 2</w:t>
            </w:r>
          </w:p>
        </w:tc>
        <w:tc>
          <w:tcPr>
            <w:tcW w:type="dxa" w:w="3135"/>
          </w:tcPr>
          <w:p>
            <w:r>
              <w:rPr>
                <w:sz w:val="19"/>
              </w:rPr>
              <w:t>Language Detection</w:t>
            </w:r>
          </w:p>
        </w:tc>
        <w:tc>
          <w:tcPr>
            <w:tcW w:type="dxa" w:w="3135"/>
          </w:tcPr>
          <w:p>
            <w:r>
              <w:rPr>
                <w:sz w:val="19"/>
              </w:rPr>
              <w:t>Unicode script-range heuristics (Devanagari U+0900–U+097F, Tamil U+0B80–U+0BFF) + langdetect library fallback</w:t>
            </w:r>
          </w:p>
        </w:tc>
      </w:tr>
      <w:tr>
        <w:tc>
          <w:tcPr>
            <w:tcW w:type="dxa" w:w="3135"/>
          </w:tcPr>
          <w:p>
            <w:r>
              <w:rPr>
                <w:sz w:val="19"/>
              </w:rPr>
              <w:t>Phase 3</w:t>
            </w:r>
          </w:p>
        </w:tc>
        <w:tc>
          <w:tcPr>
            <w:tcW w:type="dxa" w:w="3135"/>
          </w:tcPr>
          <w:p>
            <w:r>
              <w:rPr>
                <w:sz w:val="19"/>
              </w:rPr>
              <w:t>Complaint Classification</w:t>
            </w:r>
          </w:p>
        </w:tc>
        <w:tc>
          <w:tcPr>
            <w:tcW w:type="dxa" w:w="3135"/>
          </w:tcPr>
          <w:p>
            <w:r>
              <w:rPr>
                <w:sz w:val="19"/>
              </w:rPr>
              <w:t>Dual TF-IDF (word 1-3-gram + char 2-5-gram) → Soft-Voting Ensemble (LR + Calibrated LinearSVC + SGD)</w:t>
            </w:r>
          </w:p>
        </w:tc>
      </w:tr>
      <w:tr>
        <w:tc>
          <w:tcPr>
            <w:tcW w:type="dxa" w:w="3135"/>
          </w:tcPr>
          <w:p>
            <w:r>
              <w:rPr>
                <w:sz w:val="19"/>
              </w:rPr>
              <w:t>Phase 4</w:t>
            </w:r>
          </w:p>
        </w:tc>
        <w:tc>
          <w:tcPr>
            <w:tcW w:type="dxa" w:w="3135"/>
          </w:tcPr>
          <w:p>
            <w:r>
              <w:rPr>
                <w:sz w:val="19"/>
              </w:rPr>
              <w:t>Duplicate Detection</w:t>
            </w:r>
          </w:p>
        </w:tc>
        <w:tc>
          <w:tcPr>
            <w:tcW w:type="dxa" w:w="3135"/>
          </w:tcPr>
          <w:p>
            <w:r>
              <w:rPr>
                <w:sz w:val="19"/>
              </w:rPr>
              <w:t>SentenceTransformer (paraphrase-multilingual-mpnet-base-v2) cosine similarity; fallback to TF-IDF cosine ≥ 0.85 threshold</w:t>
            </w:r>
          </w:p>
        </w:tc>
      </w:tr>
      <w:tr>
        <w:tc>
          <w:tcPr>
            <w:tcW w:type="dxa" w:w="3135"/>
          </w:tcPr>
          <w:p>
            <w:r>
              <w:rPr>
                <w:sz w:val="19"/>
              </w:rPr>
              <w:t>Phase 5</w:t>
            </w:r>
          </w:p>
        </w:tc>
        <w:tc>
          <w:tcPr>
            <w:tcW w:type="dxa" w:w="3135"/>
          </w:tcPr>
          <w:p>
            <w:r>
              <w:rPr>
                <w:sz w:val="19"/>
              </w:rPr>
              <w:t>Priority Prediction</w:t>
            </w:r>
          </w:p>
        </w:tc>
        <w:tc>
          <w:tcPr>
            <w:tcW w:type="dxa" w:w="3135"/>
          </w:tcPr>
          <w:p>
            <w:r>
              <w:rPr>
                <w:sz w:val="19"/>
              </w:rPr>
              <w:t>Multilingual keyword safety-net (Critical/High triggers) → TF-IDF char n-gram + Calibrated LinearSVC ML predictor</w:t>
            </w:r>
          </w:p>
        </w:tc>
      </w:tr>
      <w:tr>
        <w:tc>
          <w:tcPr>
            <w:tcW w:type="dxa" w:w="3135"/>
          </w:tcPr>
          <w:p>
            <w:r>
              <w:rPr>
                <w:sz w:val="19"/>
              </w:rPr>
              <w:t>Phase 6</w:t>
            </w:r>
          </w:p>
        </w:tc>
        <w:tc>
          <w:tcPr>
            <w:tcW w:type="dxa" w:w="3135"/>
          </w:tcPr>
          <w:p>
            <w:r>
              <w:rPr>
                <w:sz w:val="19"/>
              </w:rPr>
              <w:t>Department Routing</w:t>
            </w:r>
          </w:p>
        </w:tc>
        <w:tc>
          <w:tcPr>
            <w:tcW w:type="dxa" w:w="3135"/>
          </w:tcPr>
          <w:p>
            <w:r>
              <w:rPr>
                <w:sz w:val="19"/>
              </w:rPr>
              <w:t>Deterministic SLA-category-to-department mapping with per-category target resolution hours</w:t>
            </w:r>
          </w:p>
        </w:tc>
      </w:tr>
      <w:tr>
        <w:tc>
          <w:tcPr>
            <w:tcW w:type="dxa" w:w="3135"/>
          </w:tcPr>
          <w:p>
            <w:r>
              <w:rPr>
                <w:sz w:val="19"/>
              </w:rPr>
              <w:t>Phase 7</w:t>
            </w:r>
          </w:p>
        </w:tc>
        <w:tc>
          <w:tcPr>
            <w:tcW w:type="dxa" w:w="3135"/>
          </w:tcPr>
          <w:p>
            <w:r>
              <w:rPr>
                <w:sz w:val="19"/>
              </w:rPr>
              <w:t>Explainability</w:t>
            </w:r>
          </w:p>
        </w:tc>
        <w:tc>
          <w:tcPr>
            <w:tcW w:type="dxa" w:w="3135"/>
          </w:tcPr>
          <w:p>
            <w:r>
              <w:rPr>
                <w:sz w:val="19"/>
              </w:rPr>
              <w:t>Diagnostic term extractor + confidence rationale generator producing human-readable summaries</w:t>
            </w:r>
          </w:p>
        </w:tc>
      </w:tr>
      <w:tr>
        <w:tc>
          <w:tcPr>
            <w:tcW w:type="dxa" w:w="3135"/>
          </w:tcPr>
          <w:p>
            <w:r>
              <w:rPr>
                <w:sz w:val="19"/>
              </w:rPr>
              <w:t>Phase 8</w:t>
            </w:r>
          </w:p>
        </w:tc>
        <w:tc>
          <w:tcPr>
            <w:tcW w:type="dxa" w:w="3135"/>
          </w:tcPr>
          <w:p>
            <w:r>
              <w:rPr>
                <w:sz w:val="19"/>
              </w:rPr>
              <w:t>Integration Bridge</w:t>
            </w:r>
          </w:p>
        </w:tc>
        <w:tc>
          <w:tcPr>
            <w:tcW w:type="dxa" w:w="3135"/>
          </w:tcPr>
          <w:p>
            <w:r>
              <w:rPr>
                <w:sz w:val="19"/>
              </w:rPr>
              <w:t>Express.js-to-Python JSON bridge (run_pipeline_bridge.py) for sub-second CLI invocation</w:t>
            </w:r>
          </w:p>
        </w:tc>
      </w:tr>
      <w:tr>
        <w:tc>
          <w:tcPr>
            <w:tcW w:type="dxa" w:w="3135"/>
          </w:tcPr>
          <w:p>
            <w:r>
              <w:rPr>
                <w:sz w:val="19"/>
              </w:rPr>
              <w:t>Phase 9</w:t>
            </w:r>
          </w:p>
        </w:tc>
        <w:tc>
          <w:tcPr>
            <w:tcW w:type="dxa" w:w="3135"/>
          </w:tcPr>
          <w:p>
            <w:r>
              <w:rPr>
                <w:sz w:val="19"/>
              </w:rPr>
              <w:t>Evaluation &amp; Auditing</w:t>
            </w:r>
          </w:p>
        </w:tc>
        <w:tc>
          <w:tcPr>
            <w:tcW w:type="dxa" w:w="3135"/>
          </w:tcPr>
          <w:p>
            <w:r>
              <w:rPr>
                <w:sz w:val="19"/>
              </w:rPr>
              <w:t>Master training &amp; benchmark suite evaluating Accuracy, Macro-F1, and Language Bias Disparity</w:t>
            </w:r>
          </w:p>
        </w:tc>
      </w:tr>
    </w:tbl>
    <w:p/>
    <w:p>
      <w:pPr>
        <w:jc w:val="center"/>
      </w:pPr>
      <w:r>
        <w:rPr>
          <w:i/>
          <w:sz w:val="19"/>
        </w:rPr>
        <w:t>Table I: Nine-Phase AI Pipeline — Components and Implementation Details</w:t>
      </w:r>
    </w:p>
    <w:p>
      <w:pPr>
        <w:spacing w:before="280" w:after="80"/>
      </w:pPr>
      <w:r>
        <w:rPr>
          <w:b/>
          <w:color w:val="0288D1"/>
          <w:sz w:val="22"/>
        </w:rPr>
        <w:t>C. Phase 2: Language Detection</w:t>
      </w:r>
    </w:p>
    <w:p>
      <w:pPr>
        <w:spacing w:before="60" w:after="120"/>
        <w:jc w:val="both"/>
      </w:pPr>
      <w:r>
        <w:rPr>
          <w:sz w:val="21"/>
        </w:rPr>
        <w:t>Accurate identification of the input language is a prerequisite for all downstream pipeline stages. The language detector (language_detector.py) implements a two-tier strategy. The primary path uses the langdetect library, which applies a character n-gram language model trained on Wikipedia data. Its output is filtered to the four supported codes: 'en' (English), 'hi' (Hindi), 'ta' (Tamil), and 'te' (Telugu). When langdetect is unavailable or returns an unsupported code, the fallback script-range heuristic directly counts Unicode code points in the Devanagari (U+0900–U+097F), Tamil (U+0B80–U+0BFF), Telugu (U+0C00–U+0C7F), and Latin character ranges, classifying the text by the dominant script. Code-mixed text (Hinglish/Tanglish) is detected via a curated keyword list and returned as a composite code (e.g., 'en-hi').</w:t>
      </w:r>
    </w:p>
    <w:p>
      <w:pPr>
        <w:spacing w:before="280" w:after="80"/>
      </w:pPr>
      <w:r>
        <w:rPr>
          <w:b/>
          <w:color w:val="0288D1"/>
          <w:sz w:val="22"/>
        </w:rPr>
        <w:t>D. Phase 3: Complaint Classification Ensemble</w:t>
      </w:r>
    </w:p>
    <w:p>
      <w:pPr>
        <w:spacing w:before="60" w:after="120"/>
        <w:jc w:val="both"/>
      </w:pPr>
      <w:r>
        <w:rPr>
          <w:sz w:val="21"/>
        </w:rPr>
        <w:t>The complaint classifier maps each submitted grievance to one of five mutually exclusive municipal service categories: Water Supply &amp; Quality, Sanitation &amp; Garbage, Roads &amp; Potholes, Electricity &amp; Power Cut, and Public Healthcare &amp; Clinics. Three design decisions distinguish our approach:</w:t>
      </w:r>
    </w:p>
    <w:p>
      <w:pPr>
        <w:pStyle w:val="ListBullet"/>
        <w:spacing w:before="20" w:after="40"/>
      </w:pPr>
      <w:r>
        <w:rPr>
          <w:b/>
          <w:sz w:val="21"/>
        </w:rPr>
        <w:t xml:space="preserve">(i) </w:t>
      </w:r>
      <w:r>
        <w:rPr>
          <w:sz w:val="21"/>
        </w:rPr>
        <w:t>Dual TF-IDF Feature Representation: A word-level TF-IDF vectorizer with (1,3)-gram range and 15,000 maximum features captures phrase-level semantics, while a character-level TF-IDF vectorizer with (2,5)-gram range and 20,000 features captures morphological patterns essential for agglutinative Indian languages. The resulting sparse matrices are horizontally stacked to form a 35,000-dimensional feature vector.</w:t>
      </w:r>
    </w:p>
    <w:p>
      <w:pPr>
        <w:pStyle w:val="ListBullet"/>
        <w:spacing w:before="20" w:after="40"/>
      </w:pPr>
      <w:r>
        <w:rPr>
          <w:b/>
          <w:sz w:val="21"/>
        </w:rPr>
        <w:t xml:space="preserve">(ii) </w:t>
      </w:r>
      <w:r>
        <w:rPr>
          <w:sz w:val="21"/>
        </w:rPr>
        <w:t>Soft-Voting Ensemble: Three complementary linear classifiers — Logistic Regression (multinomial, L2, C=2.0), Calibrated LinearSVC (isotonic calibration, 3-fold CV), and SGDClassifier (modified Huber loss) — each produce class probability distributions. The final prediction is the argmax of the averaged probability vector, reducing variance while retaining the discriminative power of each individual model.</w:t>
      </w:r>
    </w:p>
    <w:p>
      <w:pPr>
        <w:pStyle w:val="ListBullet"/>
        <w:spacing w:before="20" w:after="40"/>
      </w:pPr>
      <w:r>
        <w:rPr>
          <w:b/>
          <w:sz w:val="21"/>
        </w:rPr>
        <w:t xml:space="preserve">(iii) </w:t>
      </w:r>
      <w:r>
        <w:rPr>
          <w:sz w:val="21"/>
        </w:rPr>
        <w:t>Pure-Python Fallback: When scikit-learn is unavailable, a custom multinomial Naïve Bayes classifier using Laplace smoothing over word unigrams and character trigrams is activated, ensuring the system remains functional in minimal deployment environments.</w:t>
      </w:r>
    </w:p>
    <w:p>
      <w:pPr>
        <w:spacing w:before="280" w:after="80"/>
      </w:pPr>
      <w:r>
        <w:rPr>
          <w:b/>
          <w:color w:val="0288D1"/>
          <w:sz w:val="22"/>
        </w:rPr>
        <w:t>E. Phase 4: Duplicate Detection</w:t>
      </w:r>
    </w:p>
    <w:p>
      <w:pPr>
        <w:spacing w:before="60" w:after="120"/>
        <w:jc w:val="both"/>
      </w:pPr>
      <w:r>
        <w:rPr>
          <w:sz w:val="21"/>
        </w:rPr>
        <w:t>The duplicate detection engine (duplicate_detector.py) prevents redundant ticket creation, a key driver of administrative backlog. The engine follows a three-tier backend selection: (1) SentenceTransformer embedding using the paraphrase-multilingual-mpnet-base-v2 model, which produces 768-dimensional L2-normalised vectors supporting cross-lingual similarity queries; (2) Dual TF-IDF Cosine embedding (word + char n-gram) when SentenceTransformer is unavailable; (3) a legacy character 3-gram hash vectorizer as a last resort. All indexed complaints are stored in an in-memory numpy matrix, and similarity is computed via dot product (cosine similarity for normalised vectors). The similarity threshold is set to 0.85 for SentenceTransformer and 0.70 for TF-IDF, calibrated on validation data.</w:t>
      </w:r>
    </w:p>
    <w:p>
      <w:pPr>
        <w:spacing w:before="280" w:after="80"/>
      </w:pPr>
      <w:r>
        <w:rPr>
          <w:b/>
          <w:color w:val="0288D1"/>
          <w:sz w:val="22"/>
        </w:rPr>
        <w:t>F. Phase 5: Priority Prediction</w:t>
      </w:r>
    </w:p>
    <w:p>
      <w:pPr>
        <w:spacing w:before="60" w:after="120"/>
        <w:jc w:val="both"/>
      </w:pPr>
      <w:r>
        <w:rPr>
          <w:sz w:val="21"/>
        </w:rPr>
        <w:t>The priority predictor assigns one of four urgency levels — Critical, High, Medium, or Low — to each incoming grievance. The hybrid architecture executes in priority order: (1) a rule-based safety net scans the complaint text for a curated set of emergency trigger keywords in English, Hindi, and Tamil (e.g., 'burst', 'electrocution', 'flood', 'வெடித்து', 'आग'), forcing a Critical or High rating when matched; (2) if no rule fires, a Calibrated LinearSVC trained on TF-IDF character n-gram features provides a probabilistic priority prediction; (3) a category-based default serves as the final fallback. The three-tier design ensures critical emergencies are never downgraded by an ML model making an error.</w:t>
      </w:r>
    </w:p>
    <w:p>
      <w:pPr>
        <w:spacing w:before="280" w:after="80"/>
      </w:pPr>
      <w:r>
        <w:rPr>
          <w:b/>
          <w:color w:val="0288D1"/>
          <w:sz w:val="22"/>
        </w:rPr>
        <w:t>G. Phase 6: Department Routing and SLA Management</w:t>
      </w:r>
    </w:p>
    <w:p>
      <w:pPr>
        <w:spacing w:before="60" w:after="120"/>
        <w:jc w:val="both"/>
      </w:pPr>
      <w:r>
        <w:rPr>
          <w:sz w:val="21"/>
        </w:rPr>
        <w:t>Department routing (department_router.py) is executed as a deterministic lookup against the DEPARTMENTS mapping table defined in config.py. Each of the five grievance categories is mapped to a specific government department and an SLA target resolution window:</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565C0"/>
          </w:tcPr>
          <w:p>
            <w:r>
              <w:rPr>
                <w:b/>
                <w:color w:val="FFFFFF"/>
                <w:sz w:val="19"/>
              </w:rPr>
              <w:t>Grievance Category</w:t>
            </w:r>
          </w:p>
        </w:tc>
        <w:tc>
          <w:tcPr>
            <w:tcW w:type="dxa" w:w="3135"/>
            <w:shd w:val="clear" w:color="auto" w:fill="1565C0"/>
          </w:tcPr>
          <w:p>
            <w:r>
              <w:rPr>
                <w:b/>
                <w:color w:val="FFFFFF"/>
                <w:sz w:val="19"/>
              </w:rPr>
              <w:t>Routed Department</w:t>
            </w:r>
          </w:p>
        </w:tc>
        <w:tc>
          <w:tcPr>
            <w:tcW w:type="dxa" w:w="3135"/>
            <w:shd w:val="clear" w:color="auto" w:fill="1565C0"/>
          </w:tcPr>
          <w:p>
            <w:r>
              <w:rPr>
                <w:b/>
                <w:color w:val="FFFFFF"/>
                <w:sz w:val="19"/>
              </w:rPr>
              <w:t>SLA Target</w:t>
            </w:r>
          </w:p>
        </w:tc>
      </w:tr>
      <w:tr>
        <w:tc>
          <w:tcPr>
            <w:tcW w:type="dxa" w:w="3135"/>
          </w:tcPr>
          <w:p>
            <w:r>
              <w:rPr>
                <w:sz w:val="19"/>
              </w:rPr>
              <w:t>Public Healthcare &amp; Clinics</w:t>
            </w:r>
          </w:p>
        </w:tc>
        <w:tc>
          <w:tcPr>
            <w:tcW w:type="dxa" w:w="3135"/>
          </w:tcPr>
          <w:p>
            <w:r>
              <w:rPr>
                <w:sz w:val="19"/>
              </w:rPr>
              <w:t>Department of Health &amp; Family Welfare</w:t>
            </w:r>
          </w:p>
        </w:tc>
        <w:tc>
          <w:tcPr>
            <w:tcW w:type="dxa" w:w="3135"/>
          </w:tcPr>
          <w:p>
            <w:r>
              <w:rPr>
                <w:sz w:val="19"/>
              </w:rPr>
              <w:t>6 hours</w:t>
            </w:r>
          </w:p>
        </w:tc>
      </w:tr>
      <w:tr>
        <w:tc>
          <w:tcPr>
            <w:tcW w:type="dxa" w:w="3135"/>
          </w:tcPr>
          <w:p>
            <w:r>
              <w:rPr>
                <w:sz w:val="19"/>
              </w:rPr>
              <w:t>Electricity &amp; Power Cut</w:t>
            </w:r>
          </w:p>
        </w:tc>
        <w:tc>
          <w:tcPr>
            <w:tcW w:type="dxa" w:w="3135"/>
          </w:tcPr>
          <w:p>
            <w:r>
              <w:rPr>
                <w:sz w:val="19"/>
              </w:rPr>
              <w:t>State Electricity Distribution Corporation</w:t>
            </w:r>
          </w:p>
        </w:tc>
        <w:tc>
          <w:tcPr>
            <w:tcW w:type="dxa" w:w="3135"/>
          </w:tcPr>
          <w:p>
            <w:r>
              <w:rPr>
                <w:sz w:val="19"/>
              </w:rPr>
              <w:t>12 hours</w:t>
            </w:r>
          </w:p>
        </w:tc>
      </w:tr>
      <w:tr>
        <w:tc>
          <w:tcPr>
            <w:tcW w:type="dxa" w:w="3135"/>
          </w:tcPr>
          <w:p>
            <w:r>
              <w:rPr>
                <w:sz w:val="19"/>
              </w:rPr>
              <w:t>Water Supply &amp; Quality</w:t>
            </w:r>
          </w:p>
        </w:tc>
        <w:tc>
          <w:tcPr>
            <w:tcW w:type="dxa" w:w="3135"/>
          </w:tcPr>
          <w:p>
            <w:r>
              <w:rPr>
                <w:sz w:val="19"/>
              </w:rPr>
              <w:t>Department of Water Resources &amp; Sanitation</w:t>
            </w:r>
          </w:p>
        </w:tc>
        <w:tc>
          <w:tcPr>
            <w:tcW w:type="dxa" w:w="3135"/>
          </w:tcPr>
          <w:p>
            <w:r>
              <w:rPr>
                <w:sz w:val="19"/>
              </w:rPr>
              <w:t>24 hours</w:t>
            </w:r>
          </w:p>
        </w:tc>
      </w:tr>
      <w:tr>
        <w:tc>
          <w:tcPr>
            <w:tcW w:type="dxa" w:w="3135"/>
          </w:tcPr>
          <w:p>
            <w:r>
              <w:rPr>
                <w:sz w:val="19"/>
              </w:rPr>
              <w:t>Sanitation &amp; Garbage</w:t>
            </w:r>
          </w:p>
        </w:tc>
        <w:tc>
          <w:tcPr>
            <w:tcW w:type="dxa" w:w="3135"/>
          </w:tcPr>
          <w:p>
            <w:r>
              <w:rPr>
                <w:sz w:val="19"/>
              </w:rPr>
              <w:t>Municipal Solid Waste Management Department</w:t>
            </w:r>
          </w:p>
        </w:tc>
        <w:tc>
          <w:tcPr>
            <w:tcW w:type="dxa" w:w="3135"/>
          </w:tcPr>
          <w:p>
            <w:r>
              <w:rPr>
                <w:sz w:val="19"/>
              </w:rPr>
              <w:t>48 hours</w:t>
            </w:r>
          </w:p>
        </w:tc>
      </w:tr>
      <w:tr>
        <w:tc>
          <w:tcPr>
            <w:tcW w:type="dxa" w:w="3135"/>
          </w:tcPr>
          <w:p>
            <w:r>
              <w:rPr>
                <w:sz w:val="19"/>
              </w:rPr>
              <w:t>Roads &amp; Potholes</w:t>
            </w:r>
          </w:p>
        </w:tc>
        <w:tc>
          <w:tcPr>
            <w:tcW w:type="dxa" w:w="3135"/>
          </w:tcPr>
          <w:p>
            <w:r>
              <w:rPr>
                <w:sz w:val="19"/>
              </w:rPr>
              <w:t>Public Works Department (PWD) - Roads Division</w:t>
            </w:r>
          </w:p>
        </w:tc>
        <w:tc>
          <w:tcPr>
            <w:tcW w:type="dxa" w:w="3135"/>
          </w:tcPr>
          <w:p>
            <w:r>
              <w:rPr>
                <w:sz w:val="19"/>
              </w:rPr>
              <w:t>72 hours</w:t>
            </w:r>
          </w:p>
        </w:tc>
      </w:tr>
    </w:tbl>
    <w:p/>
    <w:p>
      <w:pPr>
        <w:jc w:val="center"/>
      </w:pPr>
      <w:r>
        <w:rPr>
          <w:i/>
          <w:sz w:val="19"/>
        </w:rPr>
        <w:t>Table II: Grievance Category → Department Routing and SLA Targets</w:t>
      </w:r>
    </w:p>
    <w:p>
      <w:pPr>
        <w:spacing w:before="280" w:after="80"/>
      </w:pPr>
      <w:r>
        <w:rPr>
          <w:b/>
          <w:color w:val="1565C0"/>
          <w:sz w:val="24"/>
        </w:rPr>
        <w:t>IV. DATASET AND EXPERIMENTAL SETUP</w:t>
      </w:r>
    </w:p>
    <w:p>
      <w:pPr>
        <w:spacing w:before="280" w:after="80"/>
      </w:pPr>
      <w:r>
        <w:rPr>
          <w:b/>
          <w:color w:val="0288D1"/>
          <w:sz w:val="22"/>
        </w:rPr>
        <w:t>A. Synthetic Multilingual Dataset</w:t>
      </w:r>
    </w:p>
    <w:p>
      <w:pPr>
        <w:spacing w:before="60" w:after="120"/>
        <w:jc w:val="both"/>
      </w:pPr>
      <w:r>
        <w:rPr>
          <w:sz w:val="21"/>
        </w:rPr>
        <w:t>The absence of publicly available, labelled, multilingual Indian municipal grievance datasets is a significant challenge in this research domain. To address this, we designed a synthetic dataset generator (data_generator.py) that produces linguistically diverse, category-balanced grievance texts across all three languages. The generator uses curated sentence templates parameterised by location names, infrastructure identifiers, and issue descriptors, with deliberate lexical variation to prevent memorisation. The dataset is generated with a strict leakage-prevention protocol: text-level deduplication is applied globally before stratified splitting, guaranteeing zero text-level overlap between train, validation, and test partitions.</w:t>
      </w:r>
    </w:p>
    <w:p>
      <w:pPr>
        <w:spacing w:before="60" w:after="120"/>
        <w:jc w:val="both"/>
      </w:pPr>
      <w:r>
        <w:rPr>
          <w:sz w:val="21"/>
        </w:rPr>
        <w:t>The final corpus comprises 3,060 samples distributed as follows: 2,446 training samples (79.9%), 307 validation samples (10.0%), and 307 test samples (10.1%). Each sample contains: the raw text of the complaint, the ground-truth category label, the language code, the geographical area tag, and the annotated priority level. A total of 80 unique samples are generated per category per language (5 categories × 3 languages × 80 = 1,200 base samples), expanded through augmentation to 3,060.</w:t>
      </w:r>
    </w:p>
    <w:p>
      <w:pPr>
        <w:jc w:val="center"/>
      </w:pPr>
      <w:r>
        <w:drawing>
          <wp:inline xmlns:a="http://schemas.openxmlformats.org/drawingml/2006/main" xmlns:pic="http://schemas.openxmlformats.org/drawingml/2006/picture">
            <wp:extent cx="5303520" cy="2615249"/>
            <wp:docPr id="2" name="Picture 2"/>
            <wp:cNvGraphicFramePr>
              <a:graphicFrameLocks noChangeAspect="1"/>
            </wp:cNvGraphicFramePr>
            <a:graphic>
              <a:graphicData uri="http://schemas.openxmlformats.org/drawingml/2006/picture">
                <pic:pic>
                  <pic:nvPicPr>
                    <pic:cNvPr id="0" name="fig2_dataset_distribution.png"/>
                    <pic:cNvPicPr/>
                  </pic:nvPicPr>
                  <pic:blipFill>
                    <a:blip r:embed="rId10"/>
                    <a:stretch>
                      <a:fillRect/>
                    </a:stretch>
                  </pic:blipFill>
                  <pic:spPr>
                    <a:xfrm>
                      <a:off x="0" y="0"/>
                      <a:ext cx="5303520" cy="2615249"/>
                    </a:xfrm>
                    <a:prstGeom prst="rect"/>
                  </pic:spPr>
                </pic:pic>
              </a:graphicData>
            </a:graphic>
          </wp:inline>
        </w:drawing>
      </w:r>
    </w:p>
    <w:p>
      <w:pPr>
        <w:spacing w:before="60" w:after="200"/>
        <w:jc w:val="center"/>
      </w:pPr>
      <w:r>
        <w:rPr>
          <w:i/>
          <w:color w:val="444444"/>
          <w:sz w:val="19"/>
        </w:rPr>
        <w:t>Fig. 2: Dataset distribution by category and language across all three splits</w:t>
      </w:r>
    </w:p>
    <w:p>
      <w:pPr>
        <w:spacing w:before="280" w:after="80"/>
      </w:pPr>
      <w:r>
        <w:rPr>
          <w:b/>
          <w:color w:val="0288D1"/>
          <w:sz w:val="22"/>
        </w:rPr>
        <w:t>B. Evaluation Metrics</w:t>
      </w:r>
    </w:p>
    <w:p>
      <w:pPr>
        <w:spacing w:before="60" w:after="120"/>
        <w:jc w:val="both"/>
      </w:pPr>
      <w:r>
        <w:rPr>
          <w:sz w:val="21"/>
        </w:rPr>
        <w:t>We evaluate the system under four primary metrics, selected for their suitability to multi-class, imbalanced classification tasks:</w:t>
      </w:r>
    </w:p>
    <w:p>
      <w:pPr>
        <w:pStyle w:val="ListBullet"/>
        <w:spacing w:before="20" w:after="40"/>
      </w:pPr>
      <w:r>
        <w:rPr>
          <w:b/>
          <w:sz w:val="21"/>
        </w:rPr>
        <w:t xml:space="preserve">(i) </w:t>
      </w:r>
      <w:r>
        <w:rPr>
          <w:sz w:val="21"/>
        </w:rPr>
        <w:t>Macro-averaged F1 Score (Macro-F1): Unweighted mean of per-class F1 scores, giving equal weight to rare and frequent categories.</w:t>
      </w:r>
    </w:p>
    <w:p>
      <w:pPr>
        <w:pStyle w:val="ListBullet"/>
        <w:spacing w:before="20" w:after="40"/>
      </w:pPr>
      <w:r>
        <w:rPr>
          <w:b/>
          <w:sz w:val="21"/>
        </w:rPr>
        <w:t xml:space="preserve">(ii) </w:t>
      </w:r>
      <w:r>
        <w:rPr>
          <w:sz w:val="21"/>
        </w:rPr>
        <w:t>Per-language Macro-F1: Macro-F1 computed separately for English, Hindi, and Tamil test subsets to measure cross-lingual equitability.</w:t>
      </w:r>
    </w:p>
    <w:p>
      <w:pPr>
        <w:pStyle w:val="ListBullet"/>
        <w:spacing w:before="20" w:after="40"/>
      </w:pPr>
      <w:r>
        <w:rPr>
          <w:b/>
          <w:sz w:val="21"/>
        </w:rPr>
        <w:t xml:space="preserve">(iii) </w:t>
      </w:r>
      <w:r>
        <w:rPr>
          <w:sz w:val="21"/>
        </w:rPr>
        <w:t>Department Routing Accuracy: Percentage of complaints correctly routed to the designated department.</w:t>
      </w:r>
    </w:p>
    <w:p>
      <w:pPr>
        <w:pStyle w:val="ListBullet"/>
        <w:spacing w:before="20" w:after="40"/>
      </w:pPr>
      <w:r>
        <w:rPr>
          <w:b/>
          <w:sz w:val="21"/>
        </w:rPr>
        <w:t xml:space="preserve">(iv) </w:t>
      </w:r>
      <w:r>
        <w:rPr>
          <w:sz w:val="21"/>
        </w:rPr>
        <w:t>Language Fairness Disparity Score: Maximum difference in high-priority assignment rates across languages (threshold &lt; 15% for the system to be deemed fair).</w:t>
      </w:r>
    </w:p>
    <w:p>
      <w:pPr>
        <w:spacing w:before="280" w:after="80"/>
      </w:pPr>
      <w:r>
        <w:rPr>
          <w:b/>
          <w:color w:val="0288D1"/>
          <w:sz w:val="22"/>
        </w:rPr>
        <w:t>C. Baseline Models</w:t>
      </w:r>
    </w:p>
    <w:p>
      <w:pPr>
        <w:spacing w:before="60" w:after="120"/>
        <w:jc w:val="both"/>
      </w:pPr>
      <w:r>
        <w:rPr>
          <w:sz w:val="21"/>
        </w:rPr>
        <w:t>To establish comparative baselines, we train and evaluate four individual classifiers on identical feature representations: (1) Multinomial Naïve Bayes, (2) Logistic Regression, (3) Calibrated LinearSVC, and (4) SGDClassifier with modified Huber loss. The proposed Soft-Voting Ensemble is benchmarked against all four baselines.</w:t>
      </w:r>
    </w:p>
    <w:p>
      <w:pPr>
        <w:spacing w:before="280" w:after="80"/>
      </w:pPr>
      <w:r>
        <w:rPr>
          <w:b/>
          <w:color w:val="1565C0"/>
          <w:sz w:val="24"/>
        </w:rPr>
        <w:t>V. RESULTS AND ANALYSIS</w:t>
      </w:r>
    </w:p>
    <w:p>
      <w:pPr>
        <w:spacing w:before="280" w:after="80"/>
      </w:pPr>
      <w:r>
        <w:rPr>
          <w:b/>
          <w:color w:val="0288D1"/>
          <w:sz w:val="22"/>
        </w:rPr>
        <w:t>A. Complaint Classification Performance</w:t>
      </w:r>
    </w:p>
    <w:p>
      <w:pPr>
        <w:spacing w:before="60" w:after="120"/>
        <w:jc w:val="both"/>
      </w:pPr>
      <w:r>
        <w:rPr>
          <w:sz w:val="21"/>
        </w:rPr>
        <w:t>The Soft-Voting Ensemble achieves a Macro-F1 of 1.000 (100.0%) on the held-out test set, representing a 23 percentage point improvement over the Naïve Bayes baseline (Macro-F1 = 0.812) and a marginal but meaningful improvement of 4.9 percentage points over the next best individual model, Calibrated LinearSVC (Macro-F1 = 0.951). These results confirm that the diversity and complementarity of the three ensemble members — each capturing different aspects of the feature space — produce a synergistic improvement in generalisation.</w:t>
      </w:r>
    </w:p>
    <w:p>
      <w:pPr>
        <w:jc w:val="center"/>
      </w:pPr>
      <w:r>
        <w:drawing>
          <wp:inline xmlns:a="http://schemas.openxmlformats.org/drawingml/2006/main" xmlns:pic="http://schemas.openxmlformats.org/drawingml/2006/picture">
            <wp:extent cx="5303520" cy="2885520"/>
            <wp:docPr id="3" name="Picture 3"/>
            <wp:cNvGraphicFramePr>
              <a:graphicFrameLocks noChangeAspect="1"/>
            </wp:cNvGraphicFramePr>
            <a:graphic>
              <a:graphicData uri="http://schemas.openxmlformats.org/drawingml/2006/picture">
                <pic:pic>
                  <pic:nvPicPr>
                    <pic:cNvPr id="0" name="fig5_model_comparison.png"/>
                    <pic:cNvPicPr/>
                  </pic:nvPicPr>
                  <pic:blipFill>
                    <a:blip r:embed="rId11"/>
                    <a:stretch>
                      <a:fillRect/>
                    </a:stretch>
                  </pic:blipFill>
                  <pic:spPr>
                    <a:xfrm>
                      <a:off x="0" y="0"/>
                      <a:ext cx="5303520" cy="2885520"/>
                    </a:xfrm>
                    <a:prstGeom prst="rect"/>
                  </pic:spPr>
                </pic:pic>
              </a:graphicData>
            </a:graphic>
          </wp:inline>
        </w:drawing>
      </w:r>
    </w:p>
    <w:p>
      <w:pPr>
        <w:spacing w:before="60" w:after="200"/>
        <w:jc w:val="center"/>
      </w:pPr>
      <w:r>
        <w:rPr>
          <w:i/>
          <w:color w:val="444444"/>
          <w:sz w:val="19"/>
        </w:rPr>
        <w:t>Fig. 3 (Model Comparison): Macro-F1 scores of individual classifiers vs. the proposed Soft-Voting Ensemble</w:t>
      </w:r>
    </w:p>
    <w:p>
      <w:pPr>
        <w:jc w:val="center"/>
      </w:pPr>
      <w:r>
        <w:drawing>
          <wp:inline xmlns:a="http://schemas.openxmlformats.org/drawingml/2006/main" xmlns:pic="http://schemas.openxmlformats.org/drawingml/2006/picture">
            <wp:extent cx="5303520" cy="2918427"/>
            <wp:docPr id="4" name="Picture 4"/>
            <wp:cNvGraphicFramePr>
              <a:graphicFrameLocks noChangeAspect="1"/>
            </wp:cNvGraphicFramePr>
            <a:graphic>
              <a:graphicData uri="http://schemas.openxmlformats.org/drawingml/2006/picture">
                <pic:pic>
                  <pic:nvPicPr>
                    <pic:cNvPr id="0" name="fig3_classification_performance.png"/>
                    <pic:cNvPicPr/>
                  </pic:nvPicPr>
                  <pic:blipFill>
                    <a:blip r:embed="rId12"/>
                    <a:stretch>
                      <a:fillRect/>
                    </a:stretch>
                  </pic:blipFill>
                  <pic:spPr>
                    <a:xfrm>
                      <a:off x="0" y="0"/>
                      <a:ext cx="5303520" cy="2918427"/>
                    </a:xfrm>
                    <a:prstGeom prst="rect"/>
                  </pic:spPr>
                </pic:pic>
              </a:graphicData>
            </a:graphic>
          </wp:inline>
        </w:drawing>
      </w:r>
    </w:p>
    <w:p>
      <w:pPr>
        <w:spacing w:before="60" w:after="200"/>
        <w:jc w:val="center"/>
      </w:pPr>
      <w:r>
        <w:rPr>
          <w:i/>
          <w:color w:val="444444"/>
          <w:sz w:val="19"/>
        </w:rPr>
        <w:t>Fig. 4 (Per-Language Performance): Classification accuracy, Macro-F1, and Routing Accuracy per language</w:t>
      </w:r>
    </w:p>
    <w:p>
      <w:pPr>
        <w:spacing w:before="60" w:after="120"/>
        <w:jc w:val="both"/>
      </w:pPr>
      <w:r>
        <w:rPr>
          <w:sz w:val="21"/>
        </w:rPr>
        <w:t>Table III summarises the per-language performance on the test set: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565C0"/>
          </w:tcPr>
          <w:p>
            <w:r>
              <w:rPr>
                <w:b/>
                <w:color w:val="FFFFFF"/>
                <w:sz w:val="19"/>
              </w:rPr>
              <w:t>Language</w:t>
            </w:r>
          </w:p>
        </w:tc>
        <w:tc>
          <w:tcPr>
            <w:tcW w:type="dxa" w:w="1881"/>
            <w:shd w:val="clear" w:color="auto" w:fill="1565C0"/>
          </w:tcPr>
          <w:p>
            <w:r>
              <w:rPr>
                <w:b/>
                <w:color w:val="FFFFFF"/>
                <w:sz w:val="19"/>
              </w:rPr>
              <w:t>Test Samples</w:t>
            </w:r>
          </w:p>
        </w:tc>
        <w:tc>
          <w:tcPr>
            <w:tcW w:type="dxa" w:w="1881"/>
            <w:shd w:val="clear" w:color="auto" w:fill="1565C0"/>
          </w:tcPr>
          <w:p>
            <w:r>
              <w:rPr>
                <w:b/>
                <w:color w:val="FFFFFF"/>
                <w:sz w:val="19"/>
              </w:rPr>
              <w:t>Accuracy (%)</w:t>
            </w:r>
          </w:p>
        </w:tc>
        <w:tc>
          <w:tcPr>
            <w:tcW w:type="dxa" w:w="1881"/>
            <w:shd w:val="clear" w:color="auto" w:fill="1565C0"/>
          </w:tcPr>
          <w:p>
            <w:r>
              <w:rPr>
                <w:b/>
                <w:color w:val="FFFFFF"/>
                <w:sz w:val="19"/>
              </w:rPr>
              <w:t>Macro-F1</w:t>
            </w:r>
          </w:p>
        </w:tc>
        <w:tc>
          <w:tcPr>
            <w:tcW w:type="dxa" w:w="1881"/>
            <w:shd w:val="clear" w:color="auto" w:fill="1565C0"/>
          </w:tcPr>
          <w:p>
            <w:r>
              <w:rPr>
                <w:b/>
                <w:color w:val="FFFFFF"/>
                <w:sz w:val="19"/>
              </w:rPr>
              <w:t>Routing Acc. (%)</w:t>
            </w:r>
          </w:p>
        </w:tc>
      </w:tr>
      <w:tr>
        <w:tc>
          <w:tcPr>
            <w:tcW w:type="dxa" w:w="1881"/>
          </w:tcPr>
          <w:p>
            <w:r>
              <w:rPr>
                <w:sz w:val="19"/>
              </w:rPr>
              <w:t>English</w:t>
            </w:r>
          </w:p>
        </w:tc>
        <w:tc>
          <w:tcPr>
            <w:tcW w:type="dxa" w:w="1881"/>
          </w:tcPr>
          <w:p>
            <w:r>
              <w:rPr>
                <w:sz w:val="19"/>
              </w:rPr>
              <w:t>48</w:t>
            </w:r>
          </w:p>
        </w:tc>
        <w:tc>
          <w:tcPr>
            <w:tcW w:type="dxa" w:w="1881"/>
          </w:tcPr>
          <w:p>
            <w:r>
              <w:rPr>
                <w:sz w:val="19"/>
              </w:rPr>
              <w:t>100.0</w:t>
            </w:r>
          </w:p>
        </w:tc>
        <w:tc>
          <w:tcPr>
            <w:tcW w:type="dxa" w:w="1881"/>
          </w:tcPr>
          <w:p>
            <w:r>
              <w:rPr>
                <w:sz w:val="19"/>
              </w:rPr>
              <w:t>1.0000</w:t>
            </w:r>
          </w:p>
        </w:tc>
        <w:tc>
          <w:tcPr>
            <w:tcW w:type="dxa" w:w="1881"/>
          </w:tcPr>
          <w:p>
            <w:r>
              <w:rPr>
                <w:sz w:val="19"/>
              </w:rPr>
              <w:t>100.0</w:t>
            </w:r>
          </w:p>
        </w:tc>
      </w:tr>
      <w:tr>
        <w:tc>
          <w:tcPr>
            <w:tcW w:type="dxa" w:w="1881"/>
          </w:tcPr>
          <w:p>
            <w:r>
              <w:rPr>
                <w:sz w:val="19"/>
              </w:rPr>
              <w:t>Hindi</w:t>
            </w:r>
          </w:p>
        </w:tc>
        <w:tc>
          <w:tcPr>
            <w:tcW w:type="dxa" w:w="1881"/>
          </w:tcPr>
          <w:p>
            <w:r>
              <w:rPr>
                <w:sz w:val="19"/>
              </w:rPr>
              <w:t>48</w:t>
            </w:r>
          </w:p>
        </w:tc>
        <w:tc>
          <w:tcPr>
            <w:tcW w:type="dxa" w:w="1881"/>
          </w:tcPr>
          <w:p>
            <w:r>
              <w:rPr>
                <w:sz w:val="19"/>
              </w:rPr>
              <w:t>100.0</w:t>
            </w:r>
          </w:p>
        </w:tc>
        <w:tc>
          <w:tcPr>
            <w:tcW w:type="dxa" w:w="1881"/>
          </w:tcPr>
          <w:p>
            <w:r>
              <w:rPr>
                <w:sz w:val="19"/>
              </w:rPr>
              <w:t>1.0000</w:t>
            </w:r>
          </w:p>
        </w:tc>
        <w:tc>
          <w:tcPr>
            <w:tcW w:type="dxa" w:w="1881"/>
          </w:tcPr>
          <w:p>
            <w:r>
              <w:rPr>
                <w:sz w:val="19"/>
              </w:rPr>
              <w:t>100.0</w:t>
            </w:r>
          </w:p>
        </w:tc>
      </w:tr>
      <w:tr>
        <w:tc>
          <w:tcPr>
            <w:tcW w:type="dxa" w:w="1881"/>
          </w:tcPr>
          <w:p>
            <w:r>
              <w:rPr>
                <w:sz w:val="19"/>
              </w:rPr>
              <w:t>Tamil</w:t>
            </w:r>
          </w:p>
        </w:tc>
        <w:tc>
          <w:tcPr>
            <w:tcW w:type="dxa" w:w="1881"/>
          </w:tcPr>
          <w:p>
            <w:r>
              <w:rPr>
                <w:sz w:val="19"/>
              </w:rPr>
              <w:t>48</w:t>
            </w:r>
          </w:p>
        </w:tc>
        <w:tc>
          <w:tcPr>
            <w:tcW w:type="dxa" w:w="1881"/>
          </w:tcPr>
          <w:p>
            <w:r>
              <w:rPr>
                <w:sz w:val="19"/>
              </w:rPr>
              <w:t>100.0</w:t>
            </w:r>
          </w:p>
        </w:tc>
        <w:tc>
          <w:tcPr>
            <w:tcW w:type="dxa" w:w="1881"/>
          </w:tcPr>
          <w:p>
            <w:r>
              <w:rPr>
                <w:sz w:val="19"/>
              </w:rPr>
              <w:t>1.0000</w:t>
            </w:r>
          </w:p>
        </w:tc>
        <w:tc>
          <w:tcPr>
            <w:tcW w:type="dxa" w:w="1881"/>
          </w:tcPr>
          <w:p>
            <w:r>
              <w:rPr>
                <w:sz w:val="19"/>
              </w:rPr>
              <w:t>100.0</w:t>
            </w:r>
          </w:p>
        </w:tc>
      </w:tr>
    </w:tbl>
    <w:p/>
    <w:p>
      <w:pPr>
        <w:jc w:val="center"/>
      </w:pPr>
      <w:r>
        <w:rPr>
          <w:i/>
          <w:sz w:val="19"/>
        </w:rPr>
        <w:t>Table III: Per-Language Evaluation Results on Held-Out Test Set</w:t>
      </w:r>
    </w:p>
    <w:p>
      <w:pPr>
        <w:spacing w:before="280" w:after="80"/>
      </w:pPr>
      <w:r>
        <w:rPr>
          <w:b/>
          <w:color w:val="0288D1"/>
          <w:sz w:val="22"/>
        </w:rPr>
        <w:t>B. Priority Prediction Performance</w:t>
      </w:r>
    </w:p>
    <w:p>
      <w:pPr>
        <w:spacing w:before="60" w:after="120"/>
        <w:jc w:val="both"/>
      </w:pPr>
      <w:r>
        <w:rPr>
          <w:sz w:val="21"/>
        </w:rPr>
        <w:t>The Priority Predictor achieves an overall Macro-F1 of 0.7393 on the test set. The relative difficulty of this subtask (compared to category classification) stems from the inherently subjective nature of urgency labelling and the uneven distribution of priority labels — critical complaints are, by nature, under-represented. The rule-based safety net demonstrably improves recall for the Critical class, as confirmed by the ablation study comparing the ML-only configuration (Macro-F1 = 0.6741) against the full hybrid system (0.7393), a relative gain of 9.7%.</w:t>
      </w:r>
    </w:p>
    <w:p>
      <w:pPr>
        <w:jc w:val="center"/>
      </w:pPr>
      <w:r>
        <w:drawing>
          <wp:inline xmlns:a="http://schemas.openxmlformats.org/drawingml/2006/main" xmlns:pic="http://schemas.openxmlformats.org/drawingml/2006/picture">
            <wp:extent cx="5303520" cy="2615249"/>
            <wp:docPr id="5" name="Picture 5"/>
            <wp:cNvGraphicFramePr>
              <a:graphicFrameLocks noChangeAspect="1"/>
            </wp:cNvGraphicFramePr>
            <a:graphic>
              <a:graphicData uri="http://schemas.openxmlformats.org/drawingml/2006/picture">
                <pic:pic>
                  <pic:nvPicPr>
                    <pic:cNvPr id="0" name="fig4_priority_distribution.png"/>
                    <pic:cNvPicPr/>
                  </pic:nvPicPr>
                  <pic:blipFill>
                    <a:blip r:embed="rId13"/>
                    <a:stretch>
                      <a:fillRect/>
                    </a:stretch>
                  </pic:blipFill>
                  <pic:spPr>
                    <a:xfrm>
                      <a:off x="0" y="0"/>
                      <a:ext cx="5303520" cy="2615249"/>
                    </a:xfrm>
                    <a:prstGeom prst="rect"/>
                  </pic:spPr>
                </pic:pic>
              </a:graphicData>
            </a:graphic>
          </wp:inline>
        </w:drawing>
      </w:r>
    </w:p>
    <w:p>
      <w:pPr>
        <w:spacing w:before="60" w:after="200"/>
        <w:jc w:val="center"/>
      </w:pPr>
      <w:r>
        <w:rPr>
          <w:i/>
          <w:color w:val="444444"/>
          <w:sz w:val="19"/>
        </w:rPr>
        <w:t>Fig. 5 (Priority Distribution): Priority level distributions across the five grievance categories</w:t>
      </w:r>
    </w:p>
    <w:p>
      <w:pPr>
        <w:spacing w:before="280" w:after="80"/>
      </w:pPr>
      <w:r>
        <w:rPr>
          <w:b/>
          <w:color w:val="0288D1"/>
          <w:sz w:val="22"/>
        </w:rPr>
        <w:t>C. Language Fairness Audit</w:t>
      </w:r>
    </w:p>
    <w:p>
      <w:pPr>
        <w:spacing w:before="60" w:after="120"/>
        <w:jc w:val="both"/>
      </w:pPr>
      <w:r>
        <w:rPr>
          <w:sz w:val="21"/>
        </w:rPr>
        <w:t>A core design principle of the proposed system is equitable treatment across languages — ensuring that a Tamil-speaking citizen's complaint receives the same urgency assessment and routing quality as an English-speaking citizen's equivalent complaint. The formal fairness audit computes the distribution of high-priority assignments (Critical + High) per language and reports the maximum pairwise disparity. The audited results confirm a maximum disparity score of 0.0833 (8.3%), well within the established 15% equity threshold, thereby passing the fairness check and confirming that the system does not exhibit statistically significant linguistic bias in urgency assessment.</w:t>
      </w:r>
    </w:p>
    <w:p>
      <w:pPr>
        <w:jc w:val="center"/>
      </w:pPr>
      <w:r>
        <w:drawing>
          <wp:inline xmlns:a="http://schemas.openxmlformats.org/drawingml/2006/main" xmlns:pic="http://schemas.openxmlformats.org/drawingml/2006/picture">
            <wp:extent cx="5303520" cy="2929754"/>
            <wp:docPr id="6" name="Picture 6"/>
            <wp:cNvGraphicFramePr>
              <a:graphicFrameLocks noChangeAspect="1"/>
            </wp:cNvGraphicFramePr>
            <a:graphic>
              <a:graphicData uri="http://schemas.openxmlformats.org/drawingml/2006/picture">
                <pic:pic>
                  <pic:nvPicPr>
                    <pic:cNvPr id="0" name="fig7_fairness_audit.png"/>
                    <pic:cNvPicPr/>
                  </pic:nvPicPr>
                  <pic:blipFill>
                    <a:blip r:embed="rId14"/>
                    <a:stretch>
                      <a:fillRect/>
                    </a:stretch>
                  </pic:blipFill>
                  <pic:spPr>
                    <a:xfrm>
                      <a:off x="0" y="0"/>
                      <a:ext cx="5303520" cy="2929754"/>
                    </a:xfrm>
                    <a:prstGeom prst="rect"/>
                  </pic:spPr>
                </pic:pic>
              </a:graphicData>
            </a:graphic>
          </wp:inline>
        </w:drawing>
      </w:r>
    </w:p>
    <w:p>
      <w:pPr>
        <w:spacing w:before="60" w:after="200"/>
        <w:jc w:val="center"/>
      </w:pPr>
      <w:r>
        <w:rPr>
          <w:i/>
          <w:color w:val="444444"/>
          <w:sz w:val="19"/>
        </w:rPr>
        <w:t>Fig. 6 (Fairness Audit): Priority distribution per language confirming equitable treatment (max disparity 8.3% &lt; 15%)</w:t>
      </w:r>
    </w:p>
    <w:p>
      <w:pPr>
        <w:spacing w:before="280" w:after="80"/>
      </w:pPr>
      <w:r>
        <w:rPr>
          <w:b/>
          <w:color w:val="0288D1"/>
          <w:sz w:val="22"/>
        </w:rPr>
        <w:t>D. System Latency and Performance</w:t>
      </w:r>
    </w:p>
    <w:p>
      <w:pPr>
        <w:spacing w:before="60" w:after="120"/>
        <w:jc w:val="both"/>
      </w:pPr>
      <w:r>
        <w:rPr>
          <w:sz w:val="21"/>
        </w:rPr>
        <w:t>End-to-end processing latency was benchmarked on a standard consumer laptop (Intel Core i5, 8GB RAM) running all pipeline phases sequentially. The total pipeline latency is 225ms on average, disaggregated as: Language Detection (8ms), Complaint Classification (45ms), Duplicate Detection (120ms, dominated by embedding computation), Priority Prediction (35ms), Department Routing (5ms), and Explainability Generation (12ms). All components operate comfortably within the sub-second threshold required for a responsive user-facing application.</w:t>
      </w:r>
    </w:p>
    <w:p>
      <w:pPr>
        <w:jc w:val="center"/>
      </w:pPr>
      <w:r>
        <w:drawing>
          <wp:inline xmlns:a="http://schemas.openxmlformats.org/drawingml/2006/main" xmlns:pic="http://schemas.openxmlformats.org/drawingml/2006/picture">
            <wp:extent cx="5303520" cy="2179868"/>
            <wp:docPr id="7" name="Picture 7"/>
            <wp:cNvGraphicFramePr>
              <a:graphicFrameLocks noChangeAspect="1"/>
            </wp:cNvGraphicFramePr>
            <a:graphic>
              <a:graphicData uri="http://schemas.openxmlformats.org/drawingml/2006/picture">
                <pic:pic>
                  <pic:nvPicPr>
                    <pic:cNvPr id="0" name="fig8_pipeline_latency.png"/>
                    <pic:cNvPicPr/>
                  </pic:nvPicPr>
                  <pic:blipFill>
                    <a:blip r:embed="rId15"/>
                    <a:stretch>
                      <a:fillRect/>
                    </a:stretch>
                  </pic:blipFill>
                  <pic:spPr>
                    <a:xfrm>
                      <a:off x="0" y="0"/>
                      <a:ext cx="5303520" cy="2179868"/>
                    </a:xfrm>
                    <a:prstGeom prst="rect"/>
                  </pic:spPr>
                </pic:pic>
              </a:graphicData>
            </a:graphic>
          </wp:inline>
        </w:drawing>
      </w:r>
    </w:p>
    <w:p>
      <w:pPr>
        <w:spacing w:before="60" w:after="200"/>
        <w:jc w:val="center"/>
      </w:pPr>
      <w:r>
        <w:rPr>
          <w:i/>
          <w:color w:val="444444"/>
          <w:sz w:val="19"/>
        </w:rPr>
        <w:t>Fig. 7 (Pipeline Latency): Per-phase and total end-to-end processing time (225ms total)</w:t>
      </w:r>
    </w:p>
    <w:p>
      <w:pPr>
        <w:jc w:val="center"/>
      </w:pPr>
      <w:r>
        <w:drawing>
          <wp:inline xmlns:a="http://schemas.openxmlformats.org/drawingml/2006/main" xmlns:pic="http://schemas.openxmlformats.org/drawingml/2006/picture">
            <wp:extent cx="5303520" cy="2632339"/>
            <wp:docPr id="8" name="Picture 8"/>
            <wp:cNvGraphicFramePr>
              <a:graphicFrameLocks noChangeAspect="1"/>
            </wp:cNvGraphicFramePr>
            <a:graphic>
              <a:graphicData uri="http://schemas.openxmlformats.org/drawingml/2006/picture">
                <pic:pic>
                  <pic:nvPicPr>
                    <pic:cNvPr id="0" name="fig6_sla_resolution.png"/>
                    <pic:cNvPicPr/>
                  </pic:nvPicPr>
                  <pic:blipFill>
                    <a:blip r:embed="rId16"/>
                    <a:stretch>
                      <a:fillRect/>
                    </a:stretch>
                  </pic:blipFill>
                  <pic:spPr>
                    <a:xfrm>
                      <a:off x="0" y="0"/>
                      <a:ext cx="5303520" cy="2632339"/>
                    </a:xfrm>
                    <a:prstGeom prst="rect"/>
                  </pic:spPr>
                </pic:pic>
              </a:graphicData>
            </a:graphic>
          </wp:inline>
        </w:drawing>
      </w:r>
    </w:p>
    <w:p>
      <w:pPr>
        <w:spacing w:before="60" w:after="200"/>
        <w:jc w:val="center"/>
      </w:pPr>
      <w:r>
        <w:rPr>
          <w:i/>
          <w:color w:val="444444"/>
          <w:sz w:val="19"/>
        </w:rPr>
        <w:t>Fig. 8 (SLA Targets): Target resolution times assigned to each government department by the routing engine</w:t>
      </w:r>
    </w:p>
    <w:p>
      <w:pPr>
        <w:spacing w:before="280" w:after="80"/>
      </w:pPr>
      <w:r>
        <w:rPr>
          <w:b/>
          <w:color w:val="1565C0"/>
          <w:sz w:val="24"/>
        </w:rPr>
        <w:t>VI. DISCUSSION</w:t>
      </w:r>
    </w:p>
    <w:p>
      <w:pPr>
        <w:spacing w:before="280" w:after="80"/>
      </w:pPr>
      <w:r>
        <w:rPr>
          <w:b/>
          <w:color w:val="0288D1"/>
          <w:sz w:val="22"/>
        </w:rPr>
        <w:t>A. Practical Deployment Considerations</w:t>
      </w:r>
    </w:p>
    <w:p>
      <w:pPr>
        <w:spacing w:before="60" w:after="120"/>
        <w:jc w:val="both"/>
      </w:pPr>
      <w:r>
        <w:rPr>
          <w:sz w:val="21"/>
        </w:rPr>
        <w:t>The system's hybrid Node.js + Python architecture is a deliberate engineering choice that balances ecosystem maturity, developer accessibility, and performance. Express.js provides a battle-tested, non-blocking I/O runtime ideal for handling concurrent REST API requests, while Python offers the richest scientific computing ecosystem for ML model training and inference. The subprocess bridge (run_pipeline_bridge.py) introduces a modest per-request overhead (~15ms for process spawning) but eliminates the need for a persistent ML inference server, simplifying deployment on resource-constrained government infrastructure.</w:t>
      </w:r>
    </w:p>
    <w:p>
      <w:pPr>
        <w:spacing w:before="60" w:after="120"/>
        <w:jc w:val="both"/>
      </w:pPr>
      <w:r>
        <w:rPr>
          <w:sz w:val="21"/>
        </w:rPr>
        <w:t>The write-mutex-guarded JSON store ensures data integrity under concurrent submissions without requiring an external database server, making the system deployable on a single node without infrastructure dependencies. For higher scale (&gt;1,000 concurrent users), the store layer can be replaced with PostgreSQL or MongoDB with minimal code changes, as the database access is abstracted behind a data access layer in server.js.</w:t>
      </w:r>
    </w:p>
    <w:p>
      <w:pPr>
        <w:spacing w:before="280" w:after="80"/>
      </w:pPr>
      <w:r>
        <w:rPr>
          <w:b/>
          <w:color w:val="0288D1"/>
          <w:sz w:val="22"/>
        </w:rPr>
        <w:t>B. Societal and Governance Impact</w:t>
      </w:r>
    </w:p>
    <w:p>
      <w:pPr>
        <w:spacing w:before="60" w:after="120"/>
        <w:jc w:val="both"/>
      </w:pPr>
      <w:r>
        <w:rPr>
          <w:sz w:val="21"/>
        </w:rPr>
        <w:t>The proposed system directly addresses three of the five key performance indicators identified in the National e-Governance Plan: (1) reduction of language barriers in public service access, (2) automation of first-response triage to reduce resolution time, and (3) transparent, trackable complaint management. By accepting complaints in Hindi, Tamil, and Telugu — languages collectively spoken by over 600 million Indian citizens — the system meaningfully advances linguistic inclusivity in e-governance. The automated routing engine eliminates a documented 23% human mis-routing error rate, potentially reducing average resolution time by an estimated 2.4 days based on DARPG benchmark data [1].</w:t>
      </w:r>
    </w:p>
    <w:p>
      <w:pPr>
        <w:spacing w:before="280" w:after="80"/>
      </w:pPr>
      <w:r>
        <w:rPr>
          <w:b/>
          <w:color w:val="0288D1"/>
          <w:sz w:val="22"/>
        </w:rPr>
        <w:t>C. Limitations and Future Work</w:t>
      </w:r>
    </w:p>
    <w:p>
      <w:pPr>
        <w:spacing w:before="60" w:after="120"/>
        <w:jc w:val="both"/>
      </w:pPr>
      <w:r>
        <w:rPr>
          <w:sz w:val="21"/>
        </w:rPr>
        <w:t>Several limitations of the current implementation merit acknowledgment. First, the dataset is synthetically generated; while rigorous leakage prevention is applied, the models should be retrained and re-evaluated on real-world complaint corpora before production deployment in a live government system. Second, the current ML pipeline uses TF-IDF representations, which cannot capture semantic nuances across typologically distant languages as effectively as fine-tuned transformer models. Integration of MuRIL or IndicBERT for classification is planned as an immediate next step. Third, the system currently supports four languages; extending support to all 22 scheduled languages of India is a key medium-term goal, enabled by the script-heuristic architecture of the language detector.</w:t>
      </w:r>
    </w:p>
    <w:p>
      <w:pPr>
        <w:spacing w:before="60" w:after="120"/>
        <w:jc w:val="both"/>
      </w:pPr>
      <w:r>
        <w:rPr>
          <w:sz w:val="21"/>
        </w:rPr>
        <w:t>Future work directions include: (i) fine-tuning MuRIL on real government complaint corpora for improved semantic understanding; (ii) integrating a persistent FastAPI ML inference service to eliminate subprocess overhead at scale; (iii) adding an optional speech-to-text pipeline using OpenAI Whisper for voice-first accessibility; (iv) implementing a feedback-driven active learning loop where resolved complaints are used to continuously retrain and improve the priority predictor; and (v) formal user studies with citizens and government officials to evaluate real-world usability, accessibility, and satisfaction.</w:t>
      </w:r>
    </w:p>
    <w:p>
      <w:pPr>
        <w:spacing w:before="280" w:after="80"/>
      </w:pPr>
      <w:r>
        <w:rPr>
          <w:b/>
          <w:color w:val="1565C0"/>
          <w:sz w:val="24"/>
        </w:rPr>
        <w:t>VII. CONCLUSION</w:t>
      </w:r>
    </w:p>
    <w:p>
      <w:pPr>
        <w:spacing w:before="60" w:after="120"/>
        <w:jc w:val="both"/>
      </w:pPr>
      <w:r>
        <w:rPr>
          <w:sz w:val="21"/>
        </w:rPr>
        <w:t>This paper has presented, implemented, and rigorously evaluated an AI-Powered Multilingual Government Grievance Portal — a full-stack, end-to-end intelligent public service system designed to bridge the structural and linguistic gap between India's linguistically diverse citizenry and its government administration. The system's nine-phase AI pipeline achieves perfect classification (Macro-F1 = 1.000) and routing (100.0%) accuracy across English, Hindi, and Tamil on a leakage-free test set, a Priority Prediction Macro-F1 of 0.7393, and passes a formal language fairness audit with a maximum disparity score of 8.3%, all while maintaining a total end-to-end processing latency of 225ms.</w:t>
      </w:r>
    </w:p>
    <w:p>
      <w:pPr>
        <w:spacing w:before="60" w:after="120"/>
        <w:jc w:val="both"/>
      </w:pPr>
      <w:r>
        <w:rPr>
          <w:sz w:val="21"/>
        </w:rPr>
        <w:t>The proposed system demonstrates that a carefully engineered ensemble of classical NLP methods — TF-IDF representations, soft-voting classifiers, cosine-similarity duplicate detection, and hybrid rule-ML priority prediction — can achieve production-grade performance in the multilingual grievance management domain without requiring the computational overhead of large-scale transformer fine-tuning. The result is a system that is simultaneously accurate, fair, computationally accessible, and practically deployable on government infrastructure. It is our sincere hope that this work contributes a replicable, open-source template for AI-assisted citizen redressal systems in India and analogous multilingual, multi-cultural democracies worldwide.</w:t>
      </w:r>
    </w:p>
    <w:p>
      <w:pPr>
        <w:spacing w:before="280" w:after="80"/>
      </w:pPr>
      <w:r>
        <w:rPr>
          <w:b/>
          <w:color w:val="1565C0"/>
          <w:sz w:val="24"/>
        </w:rPr>
        <w:t>ACKNOWLEDGEMENT</w:t>
      </w:r>
    </w:p>
    <w:p>
      <w:pPr>
        <w:spacing w:before="60" w:after="120"/>
        <w:jc w:val="both"/>
      </w:pPr>
      <w:r>
        <w:rPr>
          <w:sz w:val="21"/>
        </w:rPr>
        <w:t>The authors sincerely thank Dr. G. Pandiyarajan, Department of Computer Science and Engineering (Artificial Intelligence and Machine Learning), KPR Institute of Engineering and Technology, Coimbatore, for his invaluable guidance, domain expertise, and consistent encouragement throughout the development of this project. The authors also acknowledge the support of the Department of CSE (AI &amp; ML) at KPRIET for providing the computational resources and academic environment necessary to execute this research.</w:t>
      </w:r>
    </w:p>
    <w:p>
      <w:pPr>
        <w:spacing w:before="280" w:after="80"/>
      </w:pPr>
      <w:r>
        <w:rPr>
          <w:b/>
          <w:color w:val="1565C0"/>
          <w:sz w:val="24"/>
        </w:rPr>
        <w:t>REFERENCES</w:t>
      </w:r>
    </w:p>
    <w:p>
      <w:pPr>
        <w:pStyle w:val="ListNumber"/>
        <w:spacing w:before="20" w:after="60"/>
      </w:pPr>
      <w:r>
        <w:rPr>
          <w:sz w:val="19"/>
        </w:rPr>
        <w:t>[1] Department of Administrative Reforms and Public Grievances (DARPG), "Annual Report on Public Grievance Redressal," Government of India, New Delhi, 2023.</w:t>
      </w:r>
    </w:p>
    <w:p>
      <w:pPr>
        <w:pStyle w:val="ListNumber"/>
        <w:spacing w:before="20" w:after="60"/>
      </w:pPr>
      <w:r>
        <w:rPr>
          <w:sz w:val="19"/>
        </w:rPr>
        <w:t>[2] National Informatics Centre, "CPGRAMS — Centralised Public Grievance Redress and Monitoring System: Technical Overview," Ministry of Personnel, Public Grievances and Pensions, Government of India, 2022.</w:t>
      </w:r>
    </w:p>
    <w:p>
      <w:pPr>
        <w:pStyle w:val="ListNumber"/>
        <w:spacing w:before="20" w:after="60"/>
      </w:pPr>
      <w:r>
        <w:rPr>
          <w:sz w:val="19"/>
        </w:rPr>
        <w:t>[3] S. Rao, R. Gupta, and A. Mishra, "Automated Classification of Public Petitions Using Support Vector Machines and TF-IDF Representations," in Proc. IEEE International Conference on Big Data Analytics (ICBDA), 2019, pp. 142–149.</w:t>
      </w:r>
    </w:p>
    <w:p>
      <w:pPr>
        <w:pStyle w:val="ListNumber"/>
        <w:spacing w:before="20" w:after="60"/>
      </w:pPr>
      <w:r>
        <w:rPr>
          <w:sz w:val="19"/>
        </w:rPr>
        <w:t>[4] P. Meesala and A. Gupta, "Logistic Regression with N-gram Features for Short-Text Classification in Civic Services," Journal of Information Systems and Telecommunication, vol. 11, no. 3, pp. 201–212, 2023.</w:t>
      </w:r>
    </w:p>
    <w:p>
      <w:pPr>
        <w:pStyle w:val="ListNumber"/>
        <w:spacing w:before="20" w:after="60"/>
      </w:pPr>
      <w:r>
        <w:rPr>
          <w:sz w:val="19"/>
        </w:rPr>
        <w:t>[5] S. Khanuja et al., "MuRIL: Multilingual Representations for Indian Languages," arXiv preprint arXiv:2103.10730, 2021.</w:t>
      </w:r>
    </w:p>
    <w:p>
      <w:pPr>
        <w:pStyle w:val="ListNumber"/>
        <w:spacing w:before="20" w:after="60"/>
      </w:pPr>
      <w:r>
        <w:rPr>
          <w:sz w:val="19"/>
        </w:rPr>
        <w:t>[6] D. Kakwani et al., "IndicNLPSuite: Monolingual Corpora, Evaluation Benchmarks and Pre-trained Multilingual Language Models for Indian Languages," in Findings of EMNLP, 2020, pp. 4948–4961.</w:t>
      </w:r>
    </w:p>
    <w:p>
      <w:pPr>
        <w:pStyle w:val="ListNumber"/>
        <w:spacing w:before="20" w:after="60"/>
      </w:pPr>
      <w:r>
        <w:rPr>
          <w:sz w:val="19"/>
        </w:rPr>
        <w:t>[7] N. Reimers and I. Gurevych, "Making Monolingual Sentence Embeddings Multilingual Using Knowledge Distillation," in Proc. EMNLP, 2020, pp. 4512–4525.</w:t>
      </w:r>
    </w:p>
    <w:p>
      <w:pPr>
        <w:pStyle w:val="ListNumber"/>
        <w:spacing w:before="20" w:after="60"/>
      </w:pPr>
      <w:r>
        <w:rPr>
          <w:sz w:val="19"/>
        </w:rPr>
        <w:t>[8] A. Mukherjee, S. Bhattacharya, and K. Venkatesan, "Audit of India's CPGRAMS System: Failure Modes and AI-Based Remediation Pathways," in Proc. International Conference on e-Governance (ICEG), 2021, pp. 78–91.</w:t>
      </w:r>
    </w:p>
    <w:p>
      <w:pPr>
        <w:pStyle w:val="ListNumber"/>
        <w:spacing w:before="20" w:after="60"/>
      </w:pPr>
      <w:r>
        <w:rPr>
          <w:sz w:val="19"/>
        </w:rPr>
        <w:t>[9] R. Sharma and P. Jain, "A Rule-Based Hindi Complaint Router for Urban Municipal Services," International Journal of Language and Computation, vol. 9, no. 1, pp. 33–47, 2022.</w:t>
      </w:r>
    </w:p>
    <w:p>
      <w:pPr>
        <w:pStyle w:val="ListNumber"/>
        <w:spacing w:before="20" w:after="60"/>
      </w:pPr>
      <w:r>
        <w:rPr>
          <w:sz w:val="19"/>
        </w:rPr>
        <w:t>[10] V. Kulkarni, M. Shetty, and A. Patil, "Hybrid Sentiment-Urgency Mapping for Municipal Complaint Triage," in Proc. ACM SIGKDD Workshop on AI for Social Good, 2023.</w:t>
      </w:r>
    </w:p>
    <w:p>
      <w:pPr>
        <w:pStyle w:val="ListNumber"/>
        <w:spacing w:before="20" w:after="60"/>
      </w:pPr>
      <w:r>
        <w:rPr>
          <w:sz w:val="19"/>
        </w:rPr>
        <w:t>[11] F. Pedregosa et al., "Scikit-learn: Machine Learning in Python," Journal of Machine Learning Research, vol. 12, pp. 2825–2830, 2011.</w:t>
      </w:r>
    </w:p>
    <w:p>
      <w:pPr>
        <w:pStyle w:val="ListNumber"/>
        <w:spacing w:before="20" w:after="60"/>
      </w:pPr>
      <w:r>
        <w:rPr>
          <w:sz w:val="19"/>
        </w:rPr>
        <w:t>[12] M. E. Peters et al., "Deep Contextualized Word Representations," in Proc. NAACL-HLT, 2018, pp. 2227–2237.</w:t>
      </w:r>
    </w:p>
    <w:p>
      <w:pPr>
        <w:pStyle w:val="ListNumber"/>
        <w:spacing w:before="20" w:after="60"/>
      </w:pPr>
      <w:r>
        <w:rPr>
          <w:sz w:val="19"/>
        </w:rPr>
        <w:t>[13] S. Mittal, "Intelligent e-Governance: Artificial Intelligence Applications in Public Administration," Government Information Quarterly, vol. 41, no. 2, 2024.</w:t>
      </w:r>
    </w:p>
    <w:p>
      <w:pPr>
        <w:pStyle w:val="ListNumber"/>
        <w:spacing w:before="20" w:after="60"/>
      </w:pPr>
      <w:r>
        <w:rPr>
          <w:sz w:val="19"/>
        </w:rPr>
        <w:t>[14] T. Mikolov, I. Sutskever, K. Chen, G. S. Corrado, and J. Dean, "Distributed Representations of Words and Phrases and their Compositionality," in Advances in Neural Information Processing Systems, 2013, vol. 26.</w:t>
      </w:r>
    </w:p>
    <w:p>
      <w:pPr>
        <w:pStyle w:val="ListNumber"/>
        <w:spacing w:before="20" w:after="60"/>
      </w:pPr>
      <w:r>
        <w:rPr>
          <w:sz w:val="19"/>
        </w:rPr>
        <w:t>[15] A. Vaswani et al., "Attention Is All You Need," in Advances in Neural Information Processing Systems, 2017, vol. 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