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jc w:val="center"/>
      </w:pPr>
      <w:r>
        <w:rPr>
          <w:rFonts w:ascii="Georgia" w:cs="Georgia" w:eastAsia="Georgia" w:hAnsi="Georgia"/>
          <w:b/>
          <w:bCs/>
          <w:color w:val="595959"/>
          <w:spacing w:val="60"/>
          <w:sz w:val="24"/>
          <w:szCs w:val="24"/>
        </w:rPr>
        <w:t xml:space="preserve">GOOGLE DATA ANALYTICS CAPSTONE</w:t>
      </w:r>
    </w:p>
    <w:p>
      <w:pPr>
        <w:pBdr>
          <w:bottom w:val="thick" w:color="C0405A" w:sz="12" w:space="8"/>
        </w:pBdr>
        <w:spacing w:after="200"/>
        <w:jc w:val="center"/>
      </w:pPr>
      <w:r>
        <w:rPr>
          <w:rFonts w:ascii="Georgia" w:cs="Georgia" w:eastAsia="Georgia" w:hAnsi="Georgia"/>
          <w:b/>
          <w:bCs/>
          <w:color w:val="1A3C6E"/>
          <w:sz w:val="52"/>
          <w:szCs w:val="52"/>
        </w:rPr>
        <w:t xml:space="preserve">Bellabeat Wellness Company Analysis</w:t>
      </w:r>
    </w:p>
    <w:p>
      <w:pPr>
        <w:spacing w:after="80" w:before="160"/>
        <w:jc w:val="center"/>
      </w:pPr>
      <w:r>
        <w:rPr>
          <w:rFonts w:ascii="Georgia" w:cs="Georgia" w:eastAsia="Georgia" w:hAnsi="Georgia"/>
          <w:i/>
          <w:iCs/>
          <w:color w:val="2563A8"/>
          <w:sz w:val="28"/>
          <w:szCs w:val="28"/>
        </w:rPr>
        <w:t xml:space="preserve">How Can a Wellness Technology Company Play It Smart?</w:t>
      </w:r>
    </w:p>
    <w:p>
      <w:pPr>
        <w:spacing w:after="560"/>
        <w:jc w:val="center"/>
      </w:pPr>
      <w:r>
        <w:rPr>
          <w:rFonts w:ascii="Georgia" w:cs="Georgia" w:eastAsia="Georgia" w:hAnsi="Georgia"/>
          <w:color w:val="595959"/>
          <w:sz w:val="20"/>
          <w:szCs w:val="20"/>
        </w:rPr>
        <w:t xml:space="preserve">Data Analysis Report  ·  Phases 1–4: Ask · Prepare · Process · Analyze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CDDE" w:sz="2"/>
              <w:left w:val="single" w:color="C0CDDE" w:sz="2"/>
              <w:bottom w:val="single" w:color="C0CDDE" w:sz="2"/>
              <w:right w:val="single" w:color="C0CDDE" w:sz="2"/>
            </w:tcBorders>
            <w:shd w:fill="EBF2FB" w:val="clear"/>
            <w:tcMar>
              <w:top w:type="dxa" w:w="120"/>
              <w:left w:type="dxa" w:w="160"/>
              <w:bottom w:type="dxa" w:w="120"/>
              <w:right w:type="dxa" w:w="160"/>
            </w:tcMar>
          </w:tcPr>
          <w:p>
            <w:pPr>
              <w:spacing w:after="40"/>
            </w:pPr>
            <w:r>
              <w:rPr>
                <w:rFonts w:ascii="Georgia" w:cs="Georgia" w:eastAsia="Georgia" w:hAnsi="Georgia"/>
                <w:b/>
                <w:bCs/>
                <w:color w:val="2563A8"/>
                <w:sz w:val="20"/>
                <w:szCs w:val="20"/>
              </w:rPr>
              <w:t xml:space="preserve">Role</w:t>
            </w:r>
          </w:p>
          <w:p>
            <w:pPr>
              <w:spacing w:after="0"/>
            </w:pPr>
            <w:r>
              <w:rPr>
                <w:rFonts w:ascii="Georgia" w:cs="Georgia" w:eastAsia="Georgia" w:hAnsi="Georgia"/>
                <w:color w:val="1A1A1A"/>
                <w:sz w:val="22"/>
                <w:szCs w:val="22"/>
              </w:rPr>
              <w:t xml:space="preserve">Junior Data Analyst — Marketing Analytics Team</w:t>
            </w:r>
          </w:p>
        </w:tc>
        <w:tc>
          <w:tcPr>
            <w:tcW w:type="dxa" w:w="4680"/>
            <w:tcBorders>
              <w:top w:val="single" w:color="C0CDDE" w:sz="2"/>
              <w:left w:val="single" w:color="C0CDDE" w:sz="2"/>
              <w:bottom w:val="single" w:color="C0CDDE" w:sz="2"/>
              <w:right w:val="single" w:color="C0CDDE" w:sz="2"/>
            </w:tcBorders>
            <w:shd w:fill="EBF2FB" w:val="clear"/>
            <w:tcMar>
              <w:top w:type="dxa" w:w="120"/>
              <w:left w:type="dxa" w:w="160"/>
              <w:bottom w:type="dxa" w:w="120"/>
              <w:right w:type="dxa" w:w="160"/>
            </w:tcMar>
          </w:tcPr>
          <w:p>
            <w:pPr>
              <w:spacing w:after="40"/>
            </w:pPr>
            <w:r>
              <w:rPr>
                <w:rFonts w:ascii="Georgia" w:cs="Georgia" w:eastAsia="Georgia" w:hAnsi="Georgia"/>
                <w:b/>
                <w:bCs/>
                <w:color w:val="2563A8"/>
                <w:sz w:val="20"/>
                <w:szCs w:val="20"/>
              </w:rPr>
              <w:t xml:space="preserve">Company</w:t>
            </w:r>
          </w:p>
          <w:p>
            <w:pPr>
              <w:spacing w:after="0"/>
            </w:pPr>
            <w:r>
              <w:rPr>
                <w:rFonts w:ascii="Georgia" w:cs="Georgia" w:eastAsia="Georgia" w:hAnsi="Georgia"/>
                <w:color w:val="1A1A1A"/>
                <w:sz w:val="22"/>
                <w:szCs w:val="22"/>
              </w:rPr>
              <w:t xml:space="preserve">Bellabeat (wellness tech for women)</w:t>
            </w:r>
          </w:p>
        </w:tc>
      </w:tr>
      <w:tr>
        <w:tc>
          <w:tcPr>
            <w:tcW w:type="dxa" w:w="4680"/>
            <w:tcBorders>
              <w:top w:val="single" w:color="C0CDDE" w:sz="2"/>
              <w:left w:val="single" w:color="C0CDDE" w:sz="2"/>
              <w:bottom w:val="single" w:color="C0CDDE" w:sz="2"/>
              <w:right w:val="single" w:color="C0CDDE" w:sz="2"/>
            </w:tcBorders>
            <w:shd w:fill="EBF2FB" w:val="clear"/>
            <w:tcMar>
              <w:top w:type="dxa" w:w="120"/>
              <w:left w:type="dxa" w:w="160"/>
              <w:bottom w:type="dxa" w:w="120"/>
              <w:right w:type="dxa" w:w="160"/>
            </w:tcMar>
          </w:tcPr>
          <w:p>
            <w:pPr>
              <w:spacing w:after="40"/>
            </w:pPr>
            <w:r>
              <w:rPr>
                <w:rFonts w:ascii="Georgia" w:cs="Georgia" w:eastAsia="Georgia" w:hAnsi="Georgia"/>
                <w:b/>
                <w:bCs/>
                <w:color w:val="2563A8"/>
                <w:sz w:val="20"/>
                <w:szCs w:val="20"/>
              </w:rPr>
              <w:t xml:space="preserve">Dataset</w:t>
            </w:r>
          </w:p>
          <w:p>
            <w:pPr>
              <w:spacing w:after="0"/>
            </w:pPr>
            <w:r>
              <w:rPr>
                <w:rFonts w:ascii="Georgia" w:cs="Georgia" w:eastAsia="Georgia" w:hAnsi="Georgia"/>
                <w:color w:val="1A1A1A"/>
                <w:sz w:val="22"/>
                <w:szCs w:val="22"/>
              </w:rPr>
              <w:t xml:space="preserve">FitBit Fitness Tracker Data — Kaggle (Apr–May 2016)</w:t>
            </w:r>
          </w:p>
        </w:tc>
        <w:tc>
          <w:tcPr>
            <w:tcW w:type="dxa" w:w="4680"/>
            <w:tcBorders>
              <w:top w:val="single" w:color="C0CDDE" w:sz="2"/>
              <w:left w:val="single" w:color="C0CDDE" w:sz="2"/>
              <w:bottom w:val="single" w:color="C0CDDE" w:sz="2"/>
              <w:right w:val="single" w:color="C0CDDE" w:sz="2"/>
            </w:tcBorders>
            <w:shd w:fill="EBF2FB" w:val="clear"/>
            <w:tcMar>
              <w:top w:type="dxa" w:w="120"/>
              <w:left w:type="dxa" w:w="160"/>
              <w:bottom w:type="dxa" w:w="120"/>
              <w:right w:type="dxa" w:w="160"/>
            </w:tcMar>
          </w:tcPr>
          <w:p>
            <w:pPr>
              <w:spacing w:after="40"/>
            </w:pPr>
            <w:r>
              <w:rPr>
                <w:rFonts w:ascii="Georgia" w:cs="Georgia" w:eastAsia="Georgia" w:hAnsi="Georgia"/>
                <w:b/>
                <w:bCs/>
                <w:color w:val="2563A8"/>
                <w:sz w:val="20"/>
                <w:szCs w:val="20"/>
              </w:rPr>
              <w:t xml:space="preserve">Tools Used</w:t>
            </w:r>
          </w:p>
          <w:p>
            <w:pPr>
              <w:spacing w:after="0"/>
            </w:pPr>
            <w:r>
              <w:rPr>
                <w:rFonts w:ascii="Georgia" w:cs="Georgia" w:eastAsia="Georgia" w:hAnsi="Georgia"/>
                <w:color w:val="1A1A1A"/>
                <w:sz w:val="22"/>
                <w:szCs w:val="22"/>
              </w:rPr>
              <w:t xml:space="preserve">R (tidyverse, ggplot2, lubridate, skimr) · Google Sheets</w:t>
            </w:r>
          </w:p>
        </w:tc>
      </w:tr>
      <w:tr>
        <w:tc>
          <w:tcPr>
            <w:tcW w:type="dxa" w:w="4680"/>
            <w:tcBorders>
              <w:top w:val="single" w:color="C0CDDE" w:sz="2"/>
              <w:left w:val="single" w:color="C0CDDE" w:sz="2"/>
              <w:bottom w:val="single" w:color="C0CDDE" w:sz="2"/>
              <w:right w:val="single" w:color="C0CDDE" w:sz="2"/>
            </w:tcBorders>
            <w:shd w:fill="EBF2FB" w:val="clear"/>
            <w:tcMar>
              <w:top w:type="dxa" w:w="120"/>
              <w:left w:type="dxa" w:w="160"/>
              <w:bottom w:type="dxa" w:w="120"/>
              <w:right w:type="dxa" w:w="160"/>
            </w:tcMar>
          </w:tcPr>
          <w:p>
            <w:pPr>
              <w:spacing w:after="40"/>
            </w:pPr>
            <w:r>
              <w:rPr>
                <w:rFonts w:ascii="Georgia" w:cs="Georgia" w:eastAsia="Georgia" w:hAnsi="Georgia"/>
                <w:b/>
                <w:bCs/>
                <w:color w:val="2563A8"/>
                <w:sz w:val="20"/>
                <w:szCs w:val="20"/>
              </w:rPr>
              <w:t xml:space="preserve">Datasets Analyzed</w:t>
            </w:r>
          </w:p>
          <w:p>
            <w:pPr>
              <w:spacing w:after="0"/>
            </w:pPr>
            <w:r>
              <w:rPr>
                <w:rFonts w:ascii="Georgia" w:cs="Georgia" w:eastAsia="Georgia" w:hAnsi="Georgia"/>
                <w:color w:val="1A1A1A"/>
                <w:sz w:val="22"/>
                <w:szCs w:val="22"/>
              </w:rPr>
              <w:t xml:space="preserve">dailyActivity · sleepDay · weightLogInfo (18 CSV files)</w:t>
            </w:r>
          </w:p>
        </w:tc>
        <w:tc>
          <w:tcPr>
            <w:tcW w:type="dxa" w:w="4680"/>
            <w:tcBorders>
              <w:top w:val="single" w:color="C0CDDE" w:sz="2"/>
              <w:left w:val="single" w:color="C0CDDE" w:sz="2"/>
              <w:bottom w:val="single" w:color="C0CDDE" w:sz="2"/>
              <w:right w:val="single" w:color="C0CDDE" w:sz="2"/>
            </w:tcBorders>
            <w:shd w:fill="EBF2FB" w:val="clear"/>
            <w:tcMar>
              <w:top w:type="dxa" w:w="120"/>
              <w:left w:type="dxa" w:w="160"/>
              <w:bottom w:type="dxa" w:w="120"/>
              <w:right w:type="dxa" w:w="160"/>
            </w:tcMar>
          </w:tcPr>
          <w:p>
            <w:pPr>
              <w:spacing w:after="40"/>
            </w:pPr>
            <w:r>
              <w:rPr>
                <w:rFonts w:ascii="Georgia" w:cs="Georgia" w:eastAsia="Georgia" w:hAnsi="Georgia"/>
                <w:b/>
                <w:bCs/>
                <w:color w:val="2563A8"/>
                <w:sz w:val="20"/>
                <w:szCs w:val="20"/>
              </w:rPr>
              <w:t xml:space="preserve">Report Scope</w:t>
            </w:r>
          </w:p>
          <w:p>
            <w:pPr>
              <w:spacing w:after="0"/>
            </w:pPr>
            <w:r>
              <w:rPr>
                <w:rFonts w:ascii="Georgia" w:cs="Georgia" w:eastAsia="Georgia" w:hAnsi="Georgia"/>
                <w:color w:val="1A1A1A"/>
                <w:sz w:val="22"/>
                <w:szCs w:val="22"/>
              </w:rPr>
              <w:t xml:space="preserve">Phases 1–4: Ask · Prepare · Process · Analyze</w:t>
            </w:r>
          </w:p>
        </w:tc>
      </w:tr>
    </w:tbl>
    <w:p>
      <w:pPr>
        <w:spacing w:after="60"/>
      </w:pPr>
      <w:r>
        <w:t xml:space="preserve"/>
      </w:r>
    </w:p>
    <w:p>
      <w:r>
        <w:br w:type="page"/>
      </w:r>
    </w:p>
    <w:p>
      <w:pPr>
        <w:pStyle w:val="Heading1"/>
        <w:pBdr>
          <w:bottom w:val="single" w:color="2563A8" w:sz="8" w:space="4"/>
        </w:pBdr>
        <w:spacing w:after="160" w:before="420"/>
      </w:pPr>
      <w:r>
        <w:rPr>
          <w:rFonts w:ascii="Georgia" w:cs="Georgia" w:eastAsia="Georgia" w:hAnsi="Georgia"/>
          <w:b/>
          <w:bCs/>
          <w:color w:val="1A3C6E"/>
          <w:sz w:val="28"/>
          <w:szCs w:val="28"/>
        </w:rPr>
        <w:t xml:space="preserve">EXECUTIVE SUMMARY</w:t>
      </w:r>
    </w:p>
    <w:p>
      <w:pPr>
        <w:spacing w:after="120" w:before="0"/>
        <w:jc w:val="both"/>
      </w:pPr>
      <w:r>
        <w:rPr>
          <w:rFonts w:ascii="Georgia" w:cs="Georgia" w:eastAsia="Georgia" w:hAnsi="Georgia"/>
          <w:color w:val="1A1A1A"/>
          <w:sz w:val="22"/>
          <w:szCs w:val="22"/>
        </w:rPr>
        <w:t xml:space="preserve">This report presents a data analysis of smart device fitness tracker usage patterns to surface actionable insights for Bellabeat's marketing strategy. Bellabeat is a high-tech wellness company designing health-focused products for women, and seeks to leverage consumer behavior data to identify growth opportunities in the global smart device market.</w:t>
      </w:r>
    </w:p>
    <w:p>
      <w:pPr>
        <w:spacing w:after="60"/>
      </w:pPr>
      <w:r>
        <w:t xml:space="preserve"/>
      </w:r>
    </w:p>
    <w:p>
      <w:pPr>
        <w:spacing w:after="120" w:before="0"/>
        <w:jc w:val="both"/>
      </w:pPr>
      <w:r>
        <w:rPr>
          <w:rFonts w:ascii="Georgia" w:cs="Georgia" w:eastAsia="Georgia" w:hAnsi="Georgia"/>
          <w:color w:val="1A1A1A"/>
          <w:sz w:val="22"/>
          <w:szCs w:val="22"/>
        </w:rPr>
        <w:t xml:space="preserve">The analysis is based on publicly available FitBit fitness tracker data from 33 consenting users collected over a one-month period in 2016. While the dataset has significant limitations in size, recency, and demographic scope, it provides a useful directional foundation for identifying behavioral patterns relevant to Bellabeat's target audience.</w:t>
      </w:r>
    </w:p>
    <w:p>
      <w:pPr>
        <w:spacing w:after="60"/>
      </w:pPr>
      <w:r>
        <w:t xml:space="preserve"/>
      </w:r>
    </w:p>
    <w:p>
      <w:pPr>
        <w:spacing w:after="120" w:before="0"/>
        <w:jc w:val="both"/>
      </w:pPr>
      <w:r>
        <w:rPr>
          <w:rFonts w:ascii="Georgia" w:cs="Georgia" w:eastAsia="Georgia" w:hAnsi="Georgia"/>
          <w:color w:val="1A1A1A"/>
          <w:sz w:val="22"/>
          <w:szCs w:val="22"/>
        </w:rPr>
        <w:t xml:space="preserve">Key findings reveal that users are predominantly sedentary, fall short of recommended daily activity benchmarks, and show clear day-of-week patterns in both activity and sleep. These behavioral gaps represent direct opportunities for Bellabeat to position its products as personalized wellness companions that nudge users toward healthier daily habits.</w:t>
      </w:r>
    </w:p>
    <w:p>
      <w:pPr>
        <w:spacing w:after="60"/>
      </w:pPr>
      <w:r>
        <w:t xml:space="preserve"/>
      </w:r>
    </w:p>
    <w:p>
      <w:r>
        <w:br w:type="page"/>
      </w:r>
    </w:p>
    <w:p>
      <w:pPr>
        <w:pStyle w:val="Heading1"/>
        <w:pBdr>
          <w:bottom w:val="single" w:color="2563A8" w:sz="8" w:space="4"/>
        </w:pBdr>
        <w:spacing w:after="160" w:before="420"/>
      </w:pPr>
      <w:r>
        <w:rPr>
          <w:rFonts w:ascii="Georgia" w:cs="Georgia" w:eastAsia="Georgia" w:hAnsi="Georgia"/>
          <w:b/>
          <w:bCs/>
          <w:color w:val="1A3C6E"/>
          <w:sz w:val="28"/>
          <w:szCs w:val="28"/>
        </w:rPr>
        <w:t xml:space="preserve">PHASE 1 — ASK</w:t>
      </w:r>
    </w:p>
    <w:p>
      <w:pPr>
        <w:pStyle w:val="Heading2"/>
        <w:spacing w:after="120" w:before="280"/>
      </w:pPr>
      <w:r>
        <w:rPr>
          <w:rFonts w:ascii="Georgia" w:cs="Georgia" w:eastAsia="Georgia" w:hAnsi="Georgia"/>
          <w:b/>
          <w:bCs/>
          <w:color w:val="2563A8"/>
          <w:sz w:val="24"/>
          <w:szCs w:val="24"/>
        </w:rPr>
        <w:t xml:space="preserve">Business Context</w:t>
      </w:r>
    </w:p>
    <w:p>
      <w:pPr>
        <w:spacing w:after="120" w:before="0"/>
        <w:jc w:val="both"/>
      </w:pPr>
      <w:r>
        <w:rPr>
          <w:rFonts w:ascii="Georgia" w:cs="Georgia" w:eastAsia="Georgia" w:hAnsi="Georgia"/>
          <w:color w:val="1A1A1A"/>
          <w:sz w:val="22"/>
          <w:szCs w:val="22"/>
        </w:rPr>
        <w:t xml:space="preserve">Founded in 2013, Bellabeat has rapidly grown into a tech-driven wellness company for women, offering products that track activity, sleep, stress, and reproductive health. Despite its strong position in the women's wellness niche, Bellabeat has identified a significant opportunity to expand its presence in the broader global smart device market.</w:t>
      </w:r>
    </w:p>
    <w:p>
      <w:pPr>
        <w:spacing w:after="60"/>
      </w:pPr>
      <w:r>
        <w:t xml:space="preserve"/>
      </w:r>
    </w:p>
    <w:p>
      <w:pPr>
        <w:spacing w:after="120" w:before="0"/>
        <w:jc w:val="both"/>
      </w:pPr>
      <w:r>
        <w:rPr>
          <w:rFonts w:ascii="Georgia" w:cs="Georgia" w:eastAsia="Georgia" w:hAnsi="Georgia"/>
          <w:color w:val="1A1A1A"/>
          <w:sz w:val="22"/>
          <w:szCs w:val="22"/>
        </w:rPr>
        <w:t xml:space="preserve">Bellabeat's co-founder and Chief Creative Officer, Urška Sršen, believes that analyzing fitness data from smart devices — even non-Bellabeat devices — can reveal consumer behavior trends that unlock new marketing directions. The central hypothesis is that understanding how people currently use health tracking technology will reveal unmet needs and behavioral patterns that Bellabeat can address with its product line and messaging.</w:t>
      </w:r>
    </w:p>
    <w:p>
      <w:pPr>
        <w:pStyle w:val="Heading2"/>
        <w:spacing w:after="120" w:before="280"/>
      </w:pPr>
      <w:r>
        <w:rPr>
          <w:rFonts w:ascii="Georgia" w:cs="Georgia" w:eastAsia="Georgia" w:hAnsi="Georgia"/>
          <w:b/>
          <w:bCs/>
          <w:color w:val="2563A8"/>
          <w:sz w:val="24"/>
          <w:szCs w:val="24"/>
        </w:rPr>
        <w:t xml:space="preserve">Guiding Business Questions</w:t>
      </w:r>
    </w:p>
    <w:p>
      <w:pPr>
        <w:pStyle w:val="ListParagraph"/>
        <w:numPr>
          <w:ilvl w:val="0"/>
          <w:numId w:val="2"/>
        </w:numPr>
        <w:spacing w:after="80"/>
      </w:pPr>
      <w:r>
        <w:rPr>
          <w:rFonts w:ascii="Georgia" w:cs="Georgia" w:eastAsia="Georgia" w:hAnsi="Georgia"/>
          <w:b w:val="false"/>
          <w:bCs w:val="false"/>
          <w:color w:val="1A1A1A"/>
          <w:sz w:val="22"/>
          <w:szCs w:val="22"/>
        </w:rPr>
        <w:t xml:space="preserve">What are some of the trends in smart device usage?</w:t>
      </w:r>
    </w:p>
    <w:p>
      <w:pPr>
        <w:pStyle w:val="ListParagraph"/>
        <w:numPr>
          <w:ilvl w:val="0"/>
          <w:numId w:val="2"/>
        </w:numPr>
        <w:spacing w:after="80"/>
      </w:pPr>
      <w:r>
        <w:rPr>
          <w:rFonts w:ascii="Georgia" w:cs="Georgia" w:eastAsia="Georgia" w:hAnsi="Georgia"/>
          <w:b w:val="false"/>
          <w:bCs w:val="false"/>
          <w:color w:val="1A1A1A"/>
          <w:sz w:val="22"/>
          <w:szCs w:val="22"/>
        </w:rPr>
        <w:t xml:space="preserve">How could these trends apply to Bellabeat customers?</w:t>
      </w:r>
    </w:p>
    <w:p>
      <w:pPr>
        <w:pStyle w:val="ListParagraph"/>
        <w:numPr>
          <w:ilvl w:val="0"/>
          <w:numId w:val="2"/>
        </w:numPr>
        <w:spacing w:after="80"/>
      </w:pPr>
      <w:r>
        <w:rPr>
          <w:rFonts w:ascii="Georgia" w:cs="Georgia" w:eastAsia="Georgia" w:hAnsi="Georgia"/>
          <w:b w:val="false"/>
          <w:bCs w:val="false"/>
          <w:color w:val="1A1A1A"/>
          <w:sz w:val="22"/>
          <w:szCs w:val="22"/>
        </w:rPr>
        <w:t xml:space="preserve">How could these trends help influence Bellabeat's marketing strategy?</w:t>
      </w:r>
    </w:p>
    <w:p>
      <w:pPr>
        <w:spacing w:after="60"/>
      </w:pPr>
      <w:r>
        <w:t xml:space="preserve"/>
      </w:r>
    </w:p>
    <w:p>
      <w:pPr>
        <w:spacing w:after="120" w:before="0"/>
        <w:jc w:val="both"/>
      </w:pPr>
      <w:r>
        <w:rPr>
          <w:rFonts w:ascii="Georgia" w:cs="Georgia" w:eastAsia="Georgia" w:hAnsi="Georgia"/>
          <w:color w:val="1A1A1A"/>
          <w:sz w:val="22"/>
          <w:szCs w:val="22"/>
        </w:rPr>
        <w:t xml:space="preserve">In this analysis, I focus on answering the first question — identifying behavioral trends in smart device usage — as the empirical foundation for the marketing recommendations in the Act phase.</w:t>
      </w:r>
    </w:p>
    <w:p>
      <w:pPr>
        <w:pStyle w:val="Heading2"/>
        <w:spacing w:after="120" w:before="280"/>
      </w:pPr>
      <w:r>
        <w:rPr>
          <w:rFonts w:ascii="Georgia" w:cs="Georgia" w:eastAsia="Georgia" w:hAnsi="Georgia"/>
          <w:b/>
          <w:bCs/>
          <w:color w:val="2563A8"/>
          <w:sz w:val="24"/>
          <w:szCs w:val="24"/>
        </w:rPr>
        <w:t xml:space="preserve">Business Task</w:t>
      </w:r>
    </w:p>
    <w:p>
      <w:pPr>
        <w:spacing w:after="120" w:before="0"/>
        <w:jc w:val="both"/>
      </w:pPr>
      <w:r>
        <w:rPr>
          <w:rFonts w:ascii="Georgia" w:cs="Georgia" w:eastAsia="Georgia" w:hAnsi="Georgia"/>
          <w:color w:val="1A1A1A"/>
          <w:sz w:val="22"/>
          <w:szCs w:val="22"/>
        </w:rPr>
        <w:t xml:space="preserve">Analyze FitBit fitness tracker usage data to identify behavioral patterns and trends among smart device users, and translate those findings into actionable, high-level marketing recommendations for Bellabeat's product strategy.</w:t>
      </w:r>
    </w:p>
    <w:p>
      <w:pPr>
        <w:pStyle w:val="Heading2"/>
        <w:spacing w:after="120" w:before="280"/>
      </w:pPr>
      <w:r>
        <w:rPr>
          <w:rFonts w:ascii="Georgia" w:cs="Georgia" w:eastAsia="Georgia" w:hAnsi="Georgia"/>
          <w:b/>
          <w:bCs/>
          <w:color w:val="2563A8"/>
          <w:sz w:val="24"/>
          <w:szCs w:val="24"/>
        </w:rPr>
        <w:t xml:space="preserve">Key Stakeholders</w:t>
      </w:r>
    </w:p>
    <w:p>
      <w:pPr>
        <w:pStyle w:val="Heading3"/>
        <w:spacing w:after="80" w:before="180"/>
      </w:pPr>
      <w:r>
        <w:rPr>
          <w:rFonts w:ascii="Georgia" w:cs="Georgia" w:eastAsia="Georgia" w:hAnsi="Georgia"/>
          <w:b/>
          <w:bCs/>
          <w:color w:val="1A6B3A"/>
          <w:sz w:val="22"/>
          <w:szCs w:val="22"/>
        </w:rPr>
        <w:t xml:space="preserve">Urška Sršen — Co-founder &amp; Chief Creative Officer</w:t>
      </w:r>
    </w:p>
    <w:p>
      <w:pPr>
        <w:spacing w:after="120" w:before="0"/>
        <w:jc w:val="both"/>
      </w:pPr>
      <w:r>
        <w:rPr>
          <w:rFonts w:ascii="Georgia" w:cs="Georgia" w:eastAsia="Georgia" w:hAnsi="Georgia"/>
          <w:color w:val="1A1A1A"/>
          <w:sz w:val="22"/>
          <w:szCs w:val="22"/>
        </w:rPr>
        <w:t xml:space="preserve">Primary sponsor of the analysis. She initiated the request and expects strategic insights that can directly inform Bellabeat's marketing direction and product positioning.</w:t>
      </w:r>
    </w:p>
    <w:p>
      <w:pPr>
        <w:pStyle w:val="Heading3"/>
        <w:spacing w:after="80" w:before="180"/>
      </w:pPr>
      <w:r>
        <w:rPr>
          <w:rFonts w:ascii="Georgia" w:cs="Georgia" w:eastAsia="Georgia" w:hAnsi="Georgia"/>
          <w:b/>
          <w:bCs/>
          <w:color w:val="1A6B3A"/>
          <w:sz w:val="22"/>
          <w:szCs w:val="22"/>
        </w:rPr>
        <w:t xml:space="preserve">Sando Mur — Co-founder &amp; Executive Team Member</w:t>
      </w:r>
    </w:p>
    <w:p>
      <w:pPr>
        <w:spacing w:after="120" w:before="0"/>
        <w:jc w:val="both"/>
      </w:pPr>
      <w:r>
        <w:rPr>
          <w:rFonts w:ascii="Georgia" w:cs="Georgia" w:eastAsia="Georgia" w:hAnsi="Georgia"/>
          <w:color w:val="1A1A1A"/>
          <w:sz w:val="22"/>
          <w:szCs w:val="22"/>
        </w:rPr>
        <w:t xml:space="preserve">Mathematical background; evaluates the rigor and validity of the analysis. Requires that findings are grounded in data and clearly communicated with appropriate caveats.</w:t>
      </w:r>
    </w:p>
    <w:p>
      <w:pPr>
        <w:pStyle w:val="Heading3"/>
        <w:spacing w:after="80" w:before="180"/>
      </w:pPr>
      <w:r>
        <w:rPr>
          <w:rFonts w:ascii="Georgia" w:cs="Georgia" w:eastAsia="Georgia" w:hAnsi="Georgia"/>
          <w:b/>
          <w:bCs/>
          <w:color w:val="1A6B3A"/>
          <w:sz w:val="22"/>
          <w:szCs w:val="22"/>
        </w:rPr>
        <w:t xml:space="preserve">Bellabeat Marketing Analytics Team</w:t>
      </w:r>
    </w:p>
    <w:p>
      <w:pPr>
        <w:spacing w:after="120" w:before="0"/>
        <w:jc w:val="both"/>
      </w:pPr>
      <w:r>
        <w:rPr>
          <w:rFonts w:ascii="Georgia" w:cs="Georgia" w:eastAsia="Georgia" w:hAnsi="Georgia"/>
          <w:color w:val="1A1A1A"/>
          <w:sz w:val="22"/>
          <w:szCs w:val="22"/>
        </w:rPr>
        <w:t xml:space="preserve">Responsible for executing the analysis and translating findings into marketing recommendations. This report is produced as part of the team's core analytical function.</w:t>
      </w:r>
    </w:p>
    <w:p>
      <w:pPr>
        <w:spacing w:after="60"/>
      </w:pPr>
      <w:r>
        <w:t xml:space="preserve"/>
      </w:r>
    </w:p>
    <w:p>
      <w:r>
        <w:br w:type="page"/>
      </w:r>
    </w:p>
    <w:p>
      <w:pPr>
        <w:pStyle w:val="Heading1"/>
        <w:pBdr>
          <w:bottom w:val="single" w:color="2563A8" w:sz="8" w:space="4"/>
        </w:pBdr>
        <w:spacing w:after="160" w:before="420"/>
      </w:pPr>
      <w:r>
        <w:rPr>
          <w:rFonts w:ascii="Georgia" w:cs="Georgia" w:eastAsia="Georgia" w:hAnsi="Georgia"/>
          <w:b/>
          <w:bCs/>
          <w:color w:val="1A3C6E"/>
          <w:sz w:val="28"/>
          <w:szCs w:val="28"/>
        </w:rPr>
        <w:t xml:space="preserve">PHASE 2 — PREPARE</w:t>
      </w:r>
    </w:p>
    <w:p>
      <w:pPr>
        <w:pStyle w:val="Heading2"/>
        <w:spacing w:after="120" w:before="280"/>
      </w:pPr>
      <w:r>
        <w:rPr>
          <w:rFonts w:ascii="Georgia" w:cs="Georgia" w:eastAsia="Georgia" w:hAnsi="Georgia"/>
          <w:b/>
          <w:bCs/>
          <w:color w:val="2563A8"/>
          <w:sz w:val="24"/>
          <w:szCs w:val="24"/>
        </w:rPr>
        <w:t xml:space="preserve">Data Source</w:t>
      </w:r>
    </w:p>
    <w:p>
      <w:pPr>
        <w:spacing w:after="120" w:before="0"/>
        <w:jc w:val="both"/>
      </w:pPr>
      <w:r>
        <w:rPr>
          <w:rFonts w:ascii="Georgia" w:cs="Georgia" w:eastAsia="Georgia" w:hAnsi="Georgia"/>
          <w:color w:val="1A1A1A"/>
          <w:sz w:val="22"/>
          <w:szCs w:val="22"/>
        </w:rPr>
        <w:t xml:space="preserve">The dataset used in this analysis is the FitBit Fitness Tracker Data, publicly available on Kaggle. The data was generated from a distributed survey conducted via Amazon Mechanical Turk between April 12 and May 12, 2016. Thirty consenting Fitbit users shared personal tracker data including minute-level outputs for physical activity, heart rate, and sleep monitoring.</w:t>
      </w:r>
    </w:p>
    <w:p>
      <w:pPr>
        <w:spacing w:after="60"/>
      </w:pPr>
      <w:r>
        <w:t xml:space="preserve"/>
      </w:r>
    </w:p>
    <w:p>
      <w:pPr>
        <w:spacing w:after="80"/>
      </w:pPr>
      <w:r>
        <w:rPr>
          <w:rFonts w:ascii="Georgia" w:cs="Georgia" w:eastAsia="Georgia" w:hAnsi="Georgia"/>
          <w:b/>
          <w:bCs/>
          <w:color w:val="2563A8"/>
          <w:sz w:val="22"/>
          <w:szCs w:val="22"/>
        </w:rPr>
        <w:t xml:space="preserve">Source: </w:t>
      </w:r>
      <w:r>
        <w:rPr>
          <w:rFonts w:ascii="Georgia" w:cs="Georgia" w:eastAsia="Georgia" w:hAnsi="Georgia"/>
          <w:color w:val="1A1A1A"/>
          <w:sz w:val="22"/>
          <w:szCs w:val="22"/>
        </w:rPr>
        <w:t xml:space="preserve">Kaggle — FitBit Fitness Tracker Data (CC0: Public Domain license)</w:t>
      </w:r>
    </w:p>
    <w:p>
      <w:pPr>
        <w:spacing w:after="80"/>
      </w:pPr>
      <w:r>
        <w:rPr>
          <w:rFonts w:ascii="Georgia" w:cs="Georgia" w:eastAsia="Georgia" w:hAnsi="Georgia"/>
          <w:b/>
          <w:bCs/>
          <w:color w:val="2563A8"/>
          <w:sz w:val="22"/>
          <w:szCs w:val="22"/>
        </w:rPr>
        <w:t xml:space="preserve">Format: </w:t>
      </w:r>
      <w:r>
        <w:rPr>
          <w:rFonts w:ascii="Georgia" w:cs="Georgia" w:eastAsia="Georgia" w:hAnsi="Georgia"/>
          <w:color w:val="1A1A1A"/>
          <w:sz w:val="22"/>
          <w:szCs w:val="22"/>
        </w:rPr>
        <w:t xml:space="preserve">18 CSV files in wide format</w:t>
      </w:r>
    </w:p>
    <w:p>
      <w:pPr>
        <w:spacing w:after="80"/>
      </w:pPr>
      <w:r>
        <w:rPr>
          <w:rFonts w:ascii="Georgia" w:cs="Georgia" w:eastAsia="Georgia" w:hAnsi="Georgia"/>
          <w:b/>
          <w:bCs/>
          <w:color w:val="2563A8"/>
          <w:sz w:val="22"/>
          <w:szCs w:val="22"/>
        </w:rPr>
        <w:t xml:space="preserve">Collection period: </w:t>
      </w:r>
      <w:r>
        <w:rPr>
          <w:rFonts w:ascii="Georgia" w:cs="Georgia" w:eastAsia="Georgia" w:hAnsi="Georgia"/>
          <w:color w:val="1A1A1A"/>
          <w:sz w:val="22"/>
          <w:szCs w:val="22"/>
        </w:rPr>
        <w:t xml:space="preserve">April 12 – May 12, 2016 (31 days)</w:t>
      </w:r>
    </w:p>
    <w:p>
      <w:pPr>
        <w:spacing w:after="80"/>
      </w:pPr>
      <w:r>
        <w:rPr>
          <w:rFonts w:ascii="Georgia" w:cs="Georgia" w:eastAsia="Georgia" w:hAnsi="Georgia"/>
          <w:b/>
          <w:bCs/>
          <w:color w:val="2563A8"/>
          <w:sz w:val="22"/>
          <w:szCs w:val="22"/>
        </w:rPr>
        <w:t xml:space="preserve">Participants: </w:t>
      </w:r>
      <w:r>
        <w:rPr>
          <w:rFonts w:ascii="Georgia" w:cs="Georgia" w:eastAsia="Georgia" w:hAnsi="Georgia"/>
          <w:color w:val="1A1A1A"/>
          <w:sz w:val="22"/>
          <w:szCs w:val="22"/>
        </w:rPr>
        <w:t xml:space="preserve">30 consenting Fitbit users (33 unique IDs found in daily activity data)</w:t>
      </w:r>
    </w:p>
    <w:p>
      <w:pPr>
        <w:pStyle w:val="Heading2"/>
        <w:spacing w:after="120" w:before="280"/>
      </w:pPr>
      <w:r>
        <w:rPr>
          <w:rFonts w:ascii="Georgia" w:cs="Georgia" w:eastAsia="Georgia" w:hAnsi="Georgia"/>
          <w:b/>
          <w:bCs/>
          <w:color w:val="2563A8"/>
          <w:sz w:val="24"/>
          <w:szCs w:val="24"/>
        </w:rPr>
        <w:t xml:space="preserve">Datasets Selected for Analysis</w:t>
      </w:r>
    </w:p>
    <w:p>
      <w:pPr>
        <w:spacing w:after="120" w:before="0"/>
        <w:jc w:val="both"/>
      </w:pPr>
      <w:r>
        <w:rPr>
          <w:rFonts w:ascii="Georgia" w:cs="Georgia" w:eastAsia="Georgia" w:hAnsi="Georgia"/>
          <w:color w:val="1A1A1A"/>
          <w:sz w:val="22"/>
          <w:szCs w:val="22"/>
        </w:rPr>
        <w:t xml:space="preserve">Out of the 18 available CSV files, three datasets were selected as most relevant to the business question:</w:t>
      </w:r>
    </w:p>
    <w:p>
      <w:pPr>
        <w:pStyle w:val="ListParagraph"/>
        <w:numPr>
          <w:ilvl w:val="0"/>
          <w:numId w:val="2"/>
        </w:numPr>
        <w:spacing w:after="80"/>
      </w:pPr>
      <w:r>
        <w:rPr>
          <w:rFonts w:ascii="Georgia" w:cs="Georgia" w:eastAsia="Georgia" w:hAnsi="Georgia"/>
          <w:b w:val="false"/>
          <w:bCs w:val="false"/>
          <w:color w:val="1A1A1A"/>
          <w:sz w:val="22"/>
          <w:szCs w:val="22"/>
        </w:rPr>
        <w:t xml:space="preserve">dailyActivity_merged — 940 rows, 33 unique users. Contains TotalSteps, TotalDistance, activity-level minutes (Very/Fairly/Lightly Active, Sedentary), and Calories burned per day.</w:t>
      </w:r>
    </w:p>
    <w:p>
      <w:pPr>
        <w:pStyle w:val="ListParagraph"/>
        <w:numPr>
          <w:ilvl w:val="0"/>
          <w:numId w:val="2"/>
        </w:numPr>
        <w:spacing w:after="80"/>
      </w:pPr>
      <w:r>
        <w:rPr>
          <w:rFonts w:ascii="Georgia" w:cs="Georgia" w:eastAsia="Georgia" w:hAnsi="Georgia"/>
          <w:b w:val="false"/>
          <w:bCs w:val="false"/>
          <w:color w:val="1A1A1A"/>
          <w:sz w:val="22"/>
          <w:szCs w:val="22"/>
        </w:rPr>
        <w:t xml:space="preserve">sleepDay_merged — 413 rows, 24 unique users. Contains TotalSleepRecords, TotalMinutesAsleep, and TotalTimeInBed per sleep session.</w:t>
      </w:r>
    </w:p>
    <w:p>
      <w:pPr>
        <w:pStyle w:val="ListParagraph"/>
        <w:numPr>
          <w:ilvl w:val="0"/>
          <w:numId w:val="2"/>
        </w:numPr>
        <w:spacing w:after="80"/>
      </w:pPr>
      <w:r>
        <w:rPr>
          <w:rFonts w:ascii="Georgia" w:cs="Georgia" w:eastAsia="Georgia" w:hAnsi="Georgia"/>
          <w:b w:val="false"/>
          <w:bCs w:val="false"/>
          <w:color w:val="1A1A1A"/>
          <w:sz w:val="22"/>
          <w:szCs w:val="22"/>
        </w:rPr>
        <w:t xml:space="preserve">weightLogInfo_merged — 67 rows, 8 unique users. Contains WeightKg, WeightPounds, BMI, and a flag for whether the entry was logged manually.</w:t>
      </w:r>
    </w:p>
    <w:p>
      <w:pPr>
        <w:pStyle w:val="Heading2"/>
        <w:spacing w:after="120" w:before="280"/>
      </w:pPr>
      <w:r>
        <w:rPr>
          <w:rFonts w:ascii="Georgia" w:cs="Georgia" w:eastAsia="Georgia" w:hAnsi="Georgia"/>
          <w:b/>
          <w:bCs/>
          <w:color w:val="2563A8"/>
          <w:sz w:val="24"/>
          <w:szCs w:val="24"/>
        </w:rPr>
        <w:t xml:space="preserve">Data Credibility Assessment (ROCCC)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300"/>
        <w:gridCol w:w="1400"/>
        <w:gridCol w:w="6180"/>
      </w:tblGrid>
      <w:tr>
        <w:tc>
          <w:tcPr>
            <w:tcW w:type="dxa" w:w="480"/>
            <w:tcBorders>
              <w:top w:val="single" w:color="FFFFFF" w:sz="2"/>
              <w:left w:val="none" w:color="FFFFFF" w:sz="0"/>
              <w:bottom w:val="single" w:color="FFFFFF" w:sz="2"/>
              <w:right w:val="none" w:color="FFFFFF" w:sz="0"/>
            </w:tcBorders>
            <w:shd w:fill="1A3C6E" w:val="clear"/>
            <w:tcMar>
              <w:top w:type="dxa" w:w="80"/>
              <w:left w:type="dxa" w:w="120"/>
              <w:bottom w:type="dxa" w:w="80"/>
              <w:right w:type="dxa" w:w="120"/>
            </w:tcMar>
          </w:tcPr>
          <w:p>
            <w:pPr>
              <w:jc w:val="center"/>
            </w:pPr>
            <w:r>
              <w:rPr>
                <w:rFonts w:ascii="Georgia" w:cs="Georgia" w:eastAsia="Georgia" w:hAnsi="Georgia"/>
                <w:b/>
                <w:bCs/>
                <w:color w:val="FFFFFF"/>
                <w:sz w:val="26"/>
                <w:szCs w:val="26"/>
              </w:rPr>
              <w:t xml:space="preserve">R</w:t>
            </w:r>
          </w:p>
        </w:tc>
        <w:tc>
          <w:tcPr>
            <w:tcW w:type="dxa" w:w="1300"/>
            <w:tcBorders>
              <w:top w:val="single" w:color="AAAAAA" w:sz="2"/>
              <w:left w:val="none" w:color="FFFFFF" w:sz="0"/>
              <w:bottom w:val="single" w:color="AAAAAA" w:sz="2"/>
              <w:right w:val="none" w:color="FFFFFF" w:sz="0"/>
            </w:tcBorders>
            <w:shd w:fill="D6E4F7" w:val="clear"/>
            <w:tcMar>
              <w:top w:type="dxa" w:w="80"/>
              <w:left w:type="dxa" w:w="140"/>
              <w:bottom w:type="dxa" w:w="80"/>
              <w:right w:type="dxa" w:w="80"/>
            </w:tcMar>
          </w:tcPr>
          <w:p>
            <w:r>
              <w:rPr>
                <w:rFonts w:ascii="Georgia" w:cs="Georgia" w:eastAsia="Georgia" w:hAnsi="Georgia"/>
                <w:b/>
                <w:bCs/>
                <w:color w:val="1A3C6E"/>
                <w:sz w:val="22"/>
                <w:szCs w:val="22"/>
              </w:rPr>
              <w:t xml:space="preserve">Reliable</w:t>
            </w:r>
          </w:p>
        </w:tc>
        <w:tc>
          <w:tcPr>
            <w:tcW w:type="dxa" w:w="1400"/>
            <w:tcBorders>
              <w:top w:val="single" w:color="AAAAAA" w:sz="2"/>
              <w:left w:val="none" w:color="FFFFFF" w:sz="0"/>
              <w:bottom w:val="single" w:color="AAAAAA" w:sz="2"/>
              <w:right w:val="none" w:color="FFFFFF" w:sz="0"/>
            </w:tcBorders>
            <w:shd w:fill="FDF0F2" w:val="clear"/>
            <w:tcMar>
              <w:top w:type="dxa" w:w="80"/>
              <w:left w:type="dxa" w:w="100"/>
              <w:bottom w:type="dxa" w:w="80"/>
              <w:right w:type="dxa" w:w="80"/>
            </w:tcMar>
          </w:tcPr>
          <w:p>
            <w:r>
              <w:rPr>
                <w:rFonts w:ascii="Georgia" w:cs="Georgia" w:eastAsia="Georgia" w:hAnsi="Georgia"/>
                <w:b/>
                <w:bCs/>
                <w:color w:val="C0405A"/>
                <w:sz w:val="22"/>
                <w:szCs w:val="22"/>
              </w:rPr>
              <w:t xml:space="preserve">LOW</w:t>
            </w:r>
          </w:p>
        </w:tc>
        <w:tc>
          <w:tcPr>
            <w:tcW w:type="dxa" w:w="6180"/>
            <w:tcBorders>
              <w:top w:val="single" w:color="AAAAAA" w:sz="2"/>
              <w:left w:val="none" w:color="FFFFFF" w:sz="0"/>
              <w:bottom w:val="single" w:color="AAAAAA" w:sz="2"/>
              <w:right w:val="none" w:color="FFFFFF" w:sz="0"/>
            </w:tcBorders>
            <w:tcMar>
              <w:top w:type="dxa" w:w="80"/>
              <w:left w:type="dxa" w:w="160"/>
              <w:bottom w:type="dxa" w:w="80"/>
              <w:right w:type="dxa" w:w="120"/>
            </w:tcMar>
          </w:tcPr>
          <w:p>
            <w:r>
              <w:rPr>
                <w:rFonts w:ascii="Georgia" w:cs="Georgia" w:eastAsia="Georgia" w:hAnsi="Georgia"/>
                <w:color w:val="1A1A1A"/>
                <w:sz w:val="22"/>
                <w:szCs w:val="22"/>
              </w:rPr>
              <w:t xml:space="preserve">Only 30 participants — far too small to accurately represent the female Fitbit user population, let alone Bellabeat's target market.</w:t>
            </w:r>
          </w:p>
        </w:tc>
      </w:tr>
      <w:tr>
        <w:tc>
          <w:tcPr>
            <w:tcW w:type="dxa" w:w="480"/>
            <w:tcBorders>
              <w:top w:val="single" w:color="FFFFFF" w:sz="2"/>
              <w:left w:val="none" w:color="FFFFFF" w:sz="0"/>
              <w:bottom w:val="single" w:color="FFFFFF" w:sz="2"/>
              <w:right w:val="none" w:color="FFFFFF" w:sz="0"/>
            </w:tcBorders>
            <w:shd w:fill="1A3C6E" w:val="clear"/>
            <w:tcMar>
              <w:top w:type="dxa" w:w="80"/>
              <w:left w:type="dxa" w:w="120"/>
              <w:bottom w:type="dxa" w:w="80"/>
              <w:right w:type="dxa" w:w="120"/>
            </w:tcMar>
          </w:tcPr>
          <w:p>
            <w:pPr>
              <w:jc w:val="center"/>
            </w:pPr>
            <w:r>
              <w:rPr>
                <w:rFonts w:ascii="Georgia" w:cs="Georgia" w:eastAsia="Georgia" w:hAnsi="Georgia"/>
                <w:b/>
                <w:bCs/>
                <w:color w:val="FFFFFF"/>
                <w:sz w:val="26"/>
                <w:szCs w:val="26"/>
              </w:rPr>
              <w:t xml:space="preserve">O</w:t>
            </w:r>
          </w:p>
        </w:tc>
        <w:tc>
          <w:tcPr>
            <w:tcW w:type="dxa" w:w="1300"/>
            <w:tcBorders>
              <w:top w:val="single" w:color="AAAAAA" w:sz="2"/>
              <w:left w:val="none" w:color="FFFFFF" w:sz="0"/>
              <w:bottom w:val="single" w:color="AAAAAA" w:sz="2"/>
              <w:right w:val="none" w:color="FFFFFF" w:sz="0"/>
            </w:tcBorders>
            <w:shd w:fill="D6E4F7" w:val="clear"/>
            <w:tcMar>
              <w:top w:type="dxa" w:w="80"/>
              <w:left w:type="dxa" w:w="140"/>
              <w:bottom w:type="dxa" w:w="80"/>
              <w:right w:type="dxa" w:w="80"/>
            </w:tcMar>
          </w:tcPr>
          <w:p>
            <w:r>
              <w:rPr>
                <w:rFonts w:ascii="Georgia" w:cs="Georgia" w:eastAsia="Georgia" w:hAnsi="Georgia"/>
                <w:b/>
                <w:bCs/>
                <w:color w:val="1A3C6E"/>
                <w:sz w:val="22"/>
                <w:szCs w:val="22"/>
              </w:rPr>
              <w:t xml:space="preserve">Original</w:t>
            </w:r>
          </w:p>
        </w:tc>
        <w:tc>
          <w:tcPr>
            <w:tcW w:type="dxa" w:w="1400"/>
            <w:tcBorders>
              <w:top w:val="single" w:color="AAAAAA" w:sz="2"/>
              <w:left w:val="none" w:color="FFFFFF" w:sz="0"/>
              <w:bottom w:val="single" w:color="AAAAAA" w:sz="2"/>
              <w:right w:val="none" w:color="FFFFFF" w:sz="0"/>
            </w:tcBorders>
            <w:shd w:fill="FDF0F2" w:val="clear"/>
            <w:tcMar>
              <w:top w:type="dxa" w:w="80"/>
              <w:left w:type="dxa" w:w="100"/>
              <w:bottom w:type="dxa" w:w="80"/>
              <w:right w:type="dxa" w:w="80"/>
            </w:tcMar>
          </w:tcPr>
          <w:p>
            <w:r>
              <w:rPr>
                <w:rFonts w:ascii="Georgia" w:cs="Georgia" w:eastAsia="Georgia" w:hAnsi="Georgia"/>
                <w:b/>
                <w:bCs/>
                <w:color w:val="C0405A"/>
                <w:sz w:val="22"/>
                <w:szCs w:val="22"/>
              </w:rPr>
              <w:t xml:space="preserve">LOW</w:t>
            </w:r>
          </w:p>
        </w:tc>
        <w:tc>
          <w:tcPr>
            <w:tcW w:type="dxa" w:w="6180"/>
            <w:tcBorders>
              <w:top w:val="single" w:color="AAAAAA" w:sz="2"/>
              <w:left w:val="none" w:color="FFFFFF" w:sz="0"/>
              <w:bottom w:val="single" w:color="AAAAAA" w:sz="2"/>
              <w:right w:val="none" w:color="FFFFFF" w:sz="0"/>
            </w:tcBorders>
            <w:tcMar>
              <w:top w:type="dxa" w:w="80"/>
              <w:left w:type="dxa" w:w="160"/>
              <w:bottom w:type="dxa" w:w="80"/>
              <w:right w:type="dxa" w:w="120"/>
            </w:tcMar>
          </w:tcPr>
          <w:p>
            <w:r>
              <w:rPr>
                <w:rFonts w:ascii="Georgia" w:cs="Georgia" w:eastAsia="Georgia" w:hAnsi="Georgia"/>
                <w:color w:val="1A1A1A"/>
                <w:sz w:val="22"/>
                <w:szCs w:val="22"/>
              </w:rPr>
              <w:t xml:space="preserve">Data was collected by Amazon Mechanical Turk, a third-party crowdsourcing platform. This is not first-party data from Bellabeat or Fitbit directly.</w:t>
            </w:r>
          </w:p>
        </w:tc>
      </w:tr>
      <w:tr>
        <w:tc>
          <w:tcPr>
            <w:tcW w:type="dxa" w:w="480"/>
            <w:tcBorders>
              <w:top w:val="single" w:color="FFFFFF" w:sz="2"/>
              <w:left w:val="none" w:color="FFFFFF" w:sz="0"/>
              <w:bottom w:val="single" w:color="FFFFFF" w:sz="2"/>
              <w:right w:val="none" w:color="FFFFFF" w:sz="0"/>
            </w:tcBorders>
            <w:shd w:fill="1A3C6E" w:val="clear"/>
            <w:tcMar>
              <w:top w:type="dxa" w:w="80"/>
              <w:left w:type="dxa" w:w="120"/>
              <w:bottom w:type="dxa" w:w="80"/>
              <w:right w:type="dxa" w:w="120"/>
            </w:tcMar>
          </w:tcPr>
          <w:p>
            <w:pPr>
              <w:jc w:val="center"/>
            </w:pPr>
            <w:r>
              <w:rPr>
                <w:rFonts w:ascii="Georgia" w:cs="Georgia" w:eastAsia="Georgia" w:hAnsi="Georgia"/>
                <w:b/>
                <w:bCs/>
                <w:color w:val="FFFFFF"/>
                <w:sz w:val="26"/>
                <w:szCs w:val="26"/>
              </w:rPr>
              <w:t xml:space="preserve">C</w:t>
            </w:r>
          </w:p>
        </w:tc>
        <w:tc>
          <w:tcPr>
            <w:tcW w:type="dxa" w:w="1300"/>
            <w:tcBorders>
              <w:top w:val="single" w:color="AAAAAA" w:sz="2"/>
              <w:left w:val="none" w:color="FFFFFF" w:sz="0"/>
              <w:bottom w:val="single" w:color="AAAAAA" w:sz="2"/>
              <w:right w:val="none" w:color="FFFFFF" w:sz="0"/>
            </w:tcBorders>
            <w:shd w:fill="D6E4F7" w:val="clear"/>
            <w:tcMar>
              <w:top w:type="dxa" w:w="80"/>
              <w:left w:type="dxa" w:w="140"/>
              <w:bottom w:type="dxa" w:w="80"/>
              <w:right w:type="dxa" w:w="80"/>
            </w:tcMar>
          </w:tcPr>
          <w:p>
            <w:r>
              <w:rPr>
                <w:rFonts w:ascii="Georgia" w:cs="Georgia" w:eastAsia="Georgia" w:hAnsi="Georgia"/>
                <w:b/>
                <w:bCs/>
                <w:color w:val="1A3C6E"/>
                <w:sz w:val="22"/>
                <w:szCs w:val="22"/>
              </w:rPr>
              <w:t xml:space="preserve">Comprehensive</w:t>
            </w:r>
          </w:p>
        </w:tc>
        <w:tc>
          <w:tcPr>
            <w:tcW w:type="dxa" w:w="1400"/>
            <w:tcBorders>
              <w:top w:val="single" w:color="AAAAAA" w:sz="2"/>
              <w:left w:val="none" w:color="FFFFFF" w:sz="0"/>
              <w:bottom w:val="single" w:color="AAAAAA" w:sz="2"/>
              <w:right w:val="none" w:color="FFFFFF" w:sz="0"/>
            </w:tcBorders>
            <w:shd w:fill="FDF0F2" w:val="clear"/>
            <w:tcMar>
              <w:top w:type="dxa" w:w="80"/>
              <w:left w:type="dxa" w:w="100"/>
              <w:bottom w:type="dxa" w:w="80"/>
              <w:right w:type="dxa" w:w="80"/>
            </w:tcMar>
          </w:tcPr>
          <w:p>
            <w:r>
              <w:rPr>
                <w:rFonts w:ascii="Georgia" w:cs="Georgia" w:eastAsia="Georgia" w:hAnsi="Georgia"/>
                <w:b/>
                <w:bCs/>
                <w:color w:val="C0405A"/>
                <w:sz w:val="22"/>
                <w:szCs w:val="22"/>
              </w:rPr>
              <w:t xml:space="preserve">LOW</w:t>
            </w:r>
          </w:p>
        </w:tc>
        <w:tc>
          <w:tcPr>
            <w:tcW w:type="dxa" w:w="6180"/>
            <w:tcBorders>
              <w:top w:val="single" w:color="AAAAAA" w:sz="2"/>
              <w:left w:val="none" w:color="FFFFFF" w:sz="0"/>
              <w:bottom w:val="single" w:color="AAAAAA" w:sz="2"/>
              <w:right w:val="none" w:color="FFFFFF" w:sz="0"/>
            </w:tcBorders>
            <w:tcMar>
              <w:top w:type="dxa" w:w="80"/>
              <w:left w:type="dxa" w:w="160"/>
              <w:bottom w:type="dxa" w:w="80"/>
              <w:right w:type="dxa" w:w="120"/>
            </w:tcMar>
          </w:tcPr>
          <w:p>
            <w:r>
              <w:rPr>
                <w:rFonts w:ascii="Georgia" w:cs="Georgia" w:eastAsia="Georgia" w:hAnsi="Georgia"/>
                <w:color w:val="1A1A1A"/>
                <w:sz w:val="22"/>
                <w:szCs w:val="22"/>
              </w:rPr>
              <w:t xml:space="preserve">No demographic variables (age, gender, location, health conditions). The dataset is also biased — participants self-selected via survey and likely skew toward health-conscious users.</w:t>
            </w:r>
          </w:p>
        </w:tc>
      </w:tr>
      <w:tr>
        <w:tc>
          <w:tcPr>
            <w:tcW w:type="dxa" w:w="480"/>
            <w:tcBorders>
              <w:top w:val="single" w:color="FFFFFF" w:sz="2"/>
              <w:left w:val="none" w:color="FFFFFF" w:sz="0"/>
              <w:bottom w:val="single" w:color="FFFFFF" w:sz="2"/>
              <w:right w:val="none" w:color="FFFFFF" w:sz="0"/>
            </w:tcBorders>
            <w:shd w:fill="1A3C6E" w:val="clear"/>
            <w:tcMar>
              <w:top w:type="dxa" w:w="80"/>
              <w:left w:type="dxa" w:w="120"/>
              <w:bottom w:type="dxa" w:w="80"/>
              <w:right w:type="dxa" w:w="120"/>
            </w:tcMar>
          </w:tcPr>
          <w:p>
            <w:pPr>
              <w:jc w:val="center"/>
            </w:pPr>
            <w:r>
              <w:rPr>
                <w:rFonts w:ascii="Georgia" w:cs="Georgia" w:eastAsia="Georgia" w:hAnsi="Georgia"/>
                <w:b/>
                <w:bCs/>
                <w:color w:val="FFFFFF"/>
                <w:sz w:val="26"/>
                <w:szCs w:val="26"/>
              </w:rPr>
              <w:t xml:space="preserve">C</w:t>
            </w:r>
          </w:p>
        </w:tc>
        <w:tc>
          <w:tcPr>
            <w:tcW w:type="dxa" w:w="1300"/>
            <w:tcBorders>
              <w:top w:val="single" w:color="AAAAAA" w:sz="2"/>
              <w:left w:val="none" w:color="FFFFFF" w:sz="0"/>
              <w:bottom w:val="single" w:color="AAAAAA" w:sz="2"/>
              <w:right w:val="none" w:color="FFFFFF" w:sz="0"/>
            </w:tcBorders>
            <w:shd w:fill="D6E4F7" w:val="clear"/>
            <w:tcMar>
              <w:top w:type="dxa" w:w="80"/>
              <w:left w:type="dxa" w:w="140"/>
              <w:bottom w:type="dxa" w:w="80"/>
              <w:right w:type="dxa" w:w="80"/>
            </w:tcMar>
          </w:tcPr>
          <w:p>
            <w:r>
              <w:rPr>
                <w:rFonts w:ascii="Georgia" w:cs="Georgia" w:eastAsia="Georgia" w:hAnsi="Georgia"/>
                <w:b/>
                <w:bCs/>
                <w:color w:val="1A3C6E"/>
                <w:sz w:val="22"/>
                <w:szCs w:val="22"/>
              </w:rPr>
              <w:t xml:space="preserve">Current</w:t>
            </w:r>
          </w:p>
        </w:tc>
        <w:tc>
          <w:tcPr>
            <w:tcW w:type="dxa" w:w="1400"/>
            <w:tcBorders>
              <w:top w:val="single" w:color="AAAAAA" w:sz="2"/>
              <w:left w:val="none" w:color="FFFFFF" w:sz="0"/>
              <w:bottom w:val="single" w:color="AAAAAA" w:sz="2"/>
              <w:right w:val="none" w:color="FFFFFF" w:sz="0"/>
            </w:tcBorders>
            <w:shd w:fill="FDF0F2" w:val="clear"/>
            <w:tcMar>
              <w:top w:type="dxa" w:w="80"/>
              <w:left w:type="dxa" w:w="100"/>
              <w:bottom w:type="dxa" w:w="80"/>
              <w:right w:type="dxa" w:w="80"/>
            </w:tcMar>
          </w:tcPr>
          <w:p>
            <w:r>
              <w:rPr>
                <w:rFonts w:ascii="Georgia" w:cs="Georgia" w:eastAsia="Georgia" w:hAnsi="Georgia"/>
                <w:b/>
                <w:bCs/>
                <w:color w:val="C0405A"/>
                <w:sz w:val="22"/>
                <w:szCs w:val="22"/>
              </w:rPr>
              <w:t xml:space="preserve">LOW</w:t>
            </w:r>
          </w:p>
        </w:tc>
        <w:tc>
          <w:tcPr>
            <w:tcW w:type="dxa" w:w="6180"/>
            <w:tcBorders>
              <w:top w:val="single" w:color="AAAAAA" w:sz="2"/>
              <w:left w:val="none" w:color="FFFFFF" w:sz="0"/>
              <w:bottom w:val="single" w:color="AAAAAA" w:sz="2"/>
              <w:right w:val="none" w:color="FFFFFF" w:sz="0"/>
            </w:tcBorders>
            <w:tcMar>
              <w:top w:type="dxa" w:w="80"/>
              <w:left w:type="dxa" w:w="160"/>
              <w:bottom w:type="dxa" w:w="80"/>
              <w:right w:type="dxa" w:w="120"/>
            </w:tcMar>
          </w:tcPr>
          <w:p>
            <w:r>
              <w:rPr>
                <w:rFonts w:ascii="Georgia" w:cs="Georgia" w:eastAsia="Georgia" w:hAnsi="Georgia"/>
                <w:color w:val="1A1A1A"/>
                <w:sz w:val="22"/>
                <w:szCs w:val="22"/>
              </w:rPr>
              <w:t xml:space="preserve">Data is from 2016 — nearly 10 years old. Smart device technology, user behavior, and health recommendations have changed significantly since then.</w:t>
            </w:r>
          </w:p>
        </w:tc>
      </w:tr>
      <w:tr>
        <w:tc>
          <w:tcPr>
            <w:tcW w:type="dxa" w:w="480"/>
            <w:tcBorders>
              <w:top w:val="single" w:color="FFFFFF" w:sz="2"/>
              <w:left w:val="none" w:color="FFFFFF" w:sz="0"/>
              <w:bottom w:val="single" w:color="FFFFFF" w:sz="2"/>
              <w:right w:val="none" w:color="FFFFFF" w:sz="0"/>
            </w:tcBorders>
            <w:shd w:fill="1A3C6E" w:val="clear"/>
            <w:tcMar>
              <w:top w:type="dxa" w:w="80"/>
              <w:left w:type="dxa" w:w="120"/>
              <w:bottom w:type="dxa" w:w="80"/>
              <w:right w:type="dxa" w:w="120"/>
            </w:tcMar>
          </w:tcPr>
          <w:p>
            <w:pPr>
              <w:jc w:val="center"/>
            </w:pPr>
            <w:r>
              <w:rPr>
                <w:rFonts w:ascii="Georgia" w:cs="Georgia" w:eastAsia="Georgia" w:hAnsi="Georgia"/>
                <w:b/>
                <w:bCs/>
                <w:color w:val="FFFFFF"/>
                <w:sz w:val="26"/>
                <w:szCs w:val="26"/>
              </w:rPr>
              <w:t xml:space="preserve">C</w:t>
            </w:r>
          </w:p>
        </w:tc>
        <w:tc>
          <w:tcPr>
            <w:tcW w:type="dxa" w:w="1300"/>
            <w:tcBorders>
              <w:top w:val="single" w:color="AAAAAA" w:sz="2"/>
              <w:left w:val="none" w:color="FFFFFF" w:sz="0"/>
              <w:bottom w:val="single" w:color="AAAAAA" w:sz="2"/>
              <w:right w:val="none" w:color="FFFFFF" w:sz="0"/>
            </w:tcBorders>
            <w:shd w:fill="D6E4F7" w:val="clear"/>
            <w:tcMar>
              <w:top w:type="dxa" w:w="80"/>
              <w:left w:type="dxa" w:w="140"/>
              <w:bottom w:type="dxa" w:w="80"/>
              <w:right w:type="dxa" w:w="80"/>
            </w:tcMar>
          </w:tcPr>
          <w:p>
            <w:r>
              <w:rPr>
                <w:rFonts w:ascii="Georgia" w:cs="Georgia" w:eastAsia="Georgia" w:hAnsi="Georgia"/>
                <w:b/>
                <w:bCs/>
                <w:color w:val="1A3C6E"/>
                <w:sz w:val="22"/>
                <w:szCs w:val="22"/>
              </w:rPr>
              <w:t xml:space="preserve">Cited</w:t>
            </w:r>
          </w:p>
        </w:tc>
        <w:tc>
          <w:tcPr>
            <w:tcW w:type="dxa" w:w="1400"/>
            <w:tcBorders>
              <w:top w:val="single" w:color="AAAAAA" w:sz="2"/>
              <w:left w:val="none" w:color="FFFFFF" w:sz="0"/>
              <w:bottom w:val="single" w:color="AAAAAA" w:sz="2"/>
              <w:right w:val="none" w:color="FFFFFF" w:sz="0"/>
            </w:tcBorders>
            <w:shd w:fill="FDF0F2" w:val="clear"/>
            <w:tcMar>
              <w:top w:type="dxa" w:w="80"/>
              <w:left w:type="dxa" w:w="100"/>
              <w:bottom w:type="dxa" w:w="80"/>
              <w:right w:type="dxa" w:w="80"/>
            </w:tcMar>
          </w:tcPr>
          <w:p>
            <w:r>
              <w:rPr>
                <w:rFonts w:ascii="Georgia" w:cs="Georgia" w:eastAsia="Georgia" w:hAnsi="Georgia"/>
                <w:b/>
                <w:bCs/>
                <w:color w:val="C0405A"/>
                <w:sz w:val="22"/>
                <w:szCs w:val="22"/>
              </w:rPr>
              <w:t xml:space="preserve">LOW</w:t>
            </w:r>
          </w:p>
        </w:tc>
        <w:tc>
          <w:tcPr>
            <w:tcW w:type="dxa" w:w="6180"/>
            <w:tcBorders>
              <w:top w:val="single" w:color="AAAAAA" w:sz="2"/>
              <w:left w:val="none" w:color="FFFFFF" w:sz="0"/>
              <w:bottom w:val="single" w:color="AAAAAA" w:sz="2"/>
              <w:right w:val="none" w:color="FFFFFF" w:sz="0"/>
            </w:tcBorders>
            <w:tcMar>
              <w:top w:type="dxa" w:w="80"/>
              <w:left w:type="dxa" w:w="160"/>
              <w:bottom w:type="dxa" w:w="80"/>
              <w:right w:type="dxa" w:w="120"/>
            </w:tcMar>
          </w:tcPr>
          <w:p>
            <w:r>
              <w:rPr>
                <w:rFonts w:ascii="Georgia" w:cs="Georgia" w:eastAsia="Georgia" w:hAnsi="Georgia"/>
                <w:color w:val="1A1A1A"/>
                <w:sz w:val="22"/>
                <w:szCs w:val="22"/>
              </w:rPr>
              <w:t xml:space="preserve">Original data collector is unidentified (only 'Amazon Mechanical Turk' is named). The chain of custody from collection to Kaggle publication is opaque.</w:t>
            </w:r>
          </w:p>
        </w:tc>
      </w:tr>
    </w:tbl>
    <w:p>
      <w:pPr>
        <w:spacing w:after="60"/>
      </w:pPr>
      <w:r>
        <w:t xml:space="preserve"/>
      </w:r>
    </w:p>
    <w:p>
      <w:pPr>
        <w:spacing w:after="120" w:before="0"/>
        <w:jc w:val="both"/>
      </w:pPr>
      <w:r>
        <w:rPr>
          <w:rFonts w:ascii="Georgia" w:cs="Georgia" w:eastAsia="Georgia" w:hAnsi="Georgia"/>
          <w:color w:val="1A1A1A"/>
          <w:sz w:val="22"/>
          <w:szCs w:val="22"/>
        </w:rPr>
        <w:t xml:space="preserve">Overall ROCCC assessment: All five dimensions score LOW. This is the most significant limitation of this analysis. The findings should be treated as directional hypotheses rather than definitive conclusions, and Bellabeat is strongly advised to validate these patterns with its own first-party user data before making large-scale strategic decisions.</w:t>
      </w:r>
    </w:p>
    <w:p>
      <w:pPr>
        <w:pStyle w:val="Heading2"/>
        <w:spacing w:after="120" w:before="280"/>
      </w:pPr>
      <w:r>
        <w:rPr>
          <w:rFonts w:ascii="Georgia" w:cs="Georgia" w:eastAsia="Georgia" w:hAnsi="Georgia"/>
          <w:b/>
          <w:bCs/>
          <w:color w:val="2563A8"/>
          <w:sz w:val="24"/>
          <w:szCs w:val="24"/>
        </w:rPr>
        <w:t xml:space="preserve">Data Ethics &amp; Compliance</w:t>
      </w:r>
    </w:p>
    <w:p>
      <w:pPr>
        <w:pStyle w:val="Heading3"/>
        <w:spacing w:after="80" w:before="180"/>
      </w:pPr>
      <w:r>
        <w:rPr>
          <w:rFonts w:ascii="Georgia" w:cs="Georgia" w:eastAsia="Georgia" w:hAnsi="Georgia"/>
          <w:b/>
          <w:bCs/>
          <w:color w:val="1A6B3A"/>
          <w:sz w:val="22"/>
          <w:szCs w:val="22"/>
        </w:rPr>
        <w:t xml:space="preserve">Privacy</w:t>
      </w:r>
    </w:p>
    <w:p>
      <w:pPr>
        <w:spacing w:after="120" w:before="0"/>
        <w:jc w:val="both"/>
      </w:pPr>
      <w:r>
        <w:rPr>
          <w:rFonts w:ascii="Georgia" w:cs="Georgia" w:eastAsia="Georgia" w:hAnsi="Georgia"/>
          <w:color w:val="1A1A1A"/>
          <w:sz w:val="22"/>
          <w:szCs w:val="22"/>
        </w:rPr>
        <w:t xml:space="preserve">All participant data has been anonymized — no names, email addresses, or personally identifiable information are present. Users provided informed consent to share their tracker data as part of the survey. The Kaggle dataset is published under a CC0 Public Domain license, meaning no additional permissions are required for analytical use.</w:t>
      </w:r>
    </w:p>
    <w:p>
      <w:pPr>
        <w:pStyle w:val="Heading3"/>
        <w:spacing w:after="80" w:before="180"/>
      </w:pPr>
      <w:r>
        <w:rPr>
          <w:rFonts w:ascii="Georgia" w:cs="Georgia" w:eastAsia="Georgia" w:hAnsi="Georgia"/>
          <w:b/>
          <w:bCs/>
          <w:color w:val="1A6B3A"/>
          <w:sz w:val="22"/>
          <w:szCs w:val="22"/>
        </w:rPr>
        <w:t xml:space="preserve">Licensing</w:t>
      </w:r>
    </w:p>
    <w:p>
      <w:pPr>
        <w:spacing w:after="120" w:before="0"/>
        <w:jc w:val="both"/>
      </w:pPr>
      <w:r>
        <w:rPr>
          <w:rFonts w:ascii="Georgia" w:cs="Georgia" w:eastAsia="Georgia" w:hAnsi="Georgia"/>
          <w:color w:val="1A1A1A"/>
          <w:sz w:val="22"/>
          <w:szCs w:val="22"/>
        </w:rPr>
        <w:t xml:space="preserve">The CC0 license permits unrestricted use, including for commercial analysis and research, with no attribution requirements.</w:t>
      </w:r>
    </w:p>
    <w:p>
      <w:pPr>
        <w:pStyle w:val="Heading3"/>
        <w:spacing w:after="80" w:before="180"/>
      </w:pPr>
      <w:r>
        <w:rPr>
          <w:rFonts w:ascii="Georgia" w:cs="Georgia" w:eastAsia="Georgia" w:hAnsi="Georgia"/>
          <w:b/>
          <w:bCs/>
          <w:color w:val="1A6B3A"/>
          <w:sz w:val="22"/>
          <w:szCs w:val="22"/>
        </w:rPr>
        <w:t xml:space="preserve">Data Limitations — Key Caveat</w:t>
      </w:r>
    </w:p>
    <w:p>
      <w:pPr>
        <w:spacing w:after="120" w:before="0"/>
        <w:jc w:val="both"/>
      </w:pPr>
      <w:r>
        <w:rPr>
          <w:rFonts w:ascii="Georgia" w:cs="Georgia" w:eastAsia="Georgia" w:hAnsi="Georgia"/>
          <w:color w:val="1A1A1A"/>
          <w:sz w:val="22"/>
          <w:szCs w:val="22"/>
        </w:rPr>
        <w:t xml:space="preserve">Beyond the ROCCC findings, two structural limitations are particularly important for interpreting results. First, the weight dataset has only 8 users — far too few to draw any meaningful conclusions about weight or BMI trends. Second, the absence of demographic variables (age, gender, lifestyle) makes it impossible to segment findings by user type. All conclusions apply to the sample as a whole.</w:t>
      </w:r>
    </w:p>
    <w:p>
      <w:pPr>
        <w:spacing w:after="60"/>
      </w:pPr>
      <w:r>
        <w:t xml:space="preserve"/>
      </w:r>
    </w:p>
    <w:p>
      <w:r>
        <w:br w:type="page"/>
      </w:r>
    </w:p>
    <w:p>
      <w:pPr>
        <w:pStyle w:val="Heading1"/>
        <w:pBdr>
          <w:bottom w:val="single" w:color="2563A8" w:sz="8" w:space="4"/>
        </w:pBdr>
        <w:spacing w:after="160" w:before="420"/>
      </w:pPr>
      <w:r>
        <w:rPr>
          <w:rFonts w:ascii="Georgia" w:cs="Georgia" w:eastAsia="Georgia" w:hAnsi="Georgia"/>
          <w:b/>
          <w:bCs/>
          <w:color w:val="1A3C6E"/>
          <w:sz w:val="28"/>
          <w:szCs w:val="28"/>
        </w:rPr>
        <w:t xml:space="preserve">PHASE 3 — PROCESS</w:t>
      </w:r>
    </w:p>
    <w:p>
      <w:pPr>
        <w:pStyle w:val="Heading2"/>
        <w:spacing w:after="120" w:before="280"/>
      </w:pPr>
      <w:r>
        <w:rPr>
          <w:rFonts w:ascii="Georgia" w:cs="Georgia" w:eastAsia="Georgia" w:hAnsi="Georgia"/>
          <w:b/>
          <w:bCs/>
          <w:color w:val="2563A8"/>
          <w:sz w:val="24"/>
          <w:szCs w:val="24"/>
        </w:rPr>
        <w:t xml:space="preserve">Tool Selection</w:t>
      </w:r>
    </w:p>
    <w:p>
      <w:pPr>
        <w:spacing w:after="120" w:before="0"/>
        <w:jc w:val="both"/>
      </w:pPr>
      <w:r>
        <w:rPr>
          <w:rFonts w:ascii="Georgia" w:cs="Georgia" w:eastAsia="Georgia" w:hAnsi="Georgia"/>
          <w:color w:val="1A1A1A"/>
          <w:sz w:val="22"/>
          <w:szCs w:val="22"/>
        </w:rPr>
        <w:t xml:space="preserve">Two tools were used across different stages of processing:</w:t>
      </w:r>
    </w:p>
    <w:p>
      <w:pPr>
        <w:pStyle w:val="ListParagraph"/>
        <w:numPr>
          <w:ilvl w:val="0"/>
          <w:numId w:val="2"/>
        </w:numPr>
        <w:spacing w:after="80"/>
      </w:pPr>
      <w:r>
        <w:rPr>
          <w:rFonts w:ascii="Georgia" w:cs="Georgia" w:eastAsia="Georgia" w:hAnsi="Georgia"/>
          <w:b w:val="false"/>
          <w:bCs w:val="false"/>
          <w:color w:val="1A1A1A"/>
          <w:sz w:val="22"/>
          <w:szCs w:val="22"/>
        </w:rPr>
        <w:t xml:space="preserve">R (RStudio) — Primary tool for data import, cleaning, transformation, and visualization. Packages used: tidyverse (data manipulation and piping), lubridate (date/time parsing), skimr (summary statistics), janitor (column name cleaning), ggplot2 (visualization), dplyr (aggregation), and sqldf (SQL-style queries within R).</w:t>
      </w:r>
    </w:p>
    <w:p>
      <w:pPr>
        <w:pStyle w:val="ListParagraph"/>
        <w:numPr>
          <w:ilvl w:val="0"/>
          <w:numId w:val="2"/>
        </w:numPr>
        <w:spacing w:after="80"/>
      </w:pPr>
      <w:r>
        <w:rPr>
          <w:rFonts w:ascii="Georgia" w:cs="Georgia" w:eastAsia="Georgia" w:hAnsi="Georgia"/>
          <w:b w:val="false"/>
          <w:bCs w:val="false"/>
          <w:color w:val="1A1A1A"/>
          <w:sz w:val="22"/>
          <w:szCs w:val="22"/>
        </w:rPr>
        <w:t xml:space="preserve">Google Sheets — Used for supplementary analysis, specifically to calculate day-of-week labels from date fields and generate percentage-based bar charts for FitBit usage frequency by weekday.</w:t>
      </w:r>
    </w:p>
    <w:p>
      <w:pPr>
        <w:pStyle w:val="Heading2"/>
        <w:spacing w:after="120" w:before="280"/>
      </w:pPr>
      <w:r>
        <w:rPr>
          <w:rFonts w:ascii="Georgia" w:cs="Georgia" w:eastAsia="Georgia" w:hAnsi="Georgia"/>
          <w:b/>
          <w:bCs/>
          <w:color w:val="2563A8"/>
          <w:sz w:val="24"/>
          <w:szCs w:val="24"/>
        </w:rPr>
        <w:t xml:space="preserve">Data Import</w:t>
      </w:r>
    </w:p>
    <w:p>
      <w:pPr>
        <w:spacing w:after="120" w:before="0"/>
        <w:jc w:val="both"/>
      </w:pPr>
      <w:r>
        <w:rPr>
          <w:rFonts w:ascii="Georgia" w:cs="Georgia" w:eastAsia="Georgia" w:hAnsi="Georgia"/>
          <w:color w:val="1A1A1A"/>
          <w:sz w:val="22"/>
          <w:szCs w:val="22"/>
        </w:rPr>
        <w:t xml:space="preserve">Three CSV files were loaded into R using read.csv(). Initial inspection used View(), head(), str(), and glimpse() to understand the structure, data types, and column names of each dataset before any transformation was applied.</w:t>
      </w:r>
    </w:p>
    <w:p>
      <w:pPr>
        <w:pStyle w:val="Heading2"/>
        <w:spacing w:after="120" w:before="280"/>
      </w:pPr>
      <w:r>
        <w:rPr>
          <w:rFonts w:ascii="Georgia" w:cs="Georgia" w:eastAsia="Georgia" w:hAnsi="Georgia"/>
          <w:b/>
          <w:bCs/>
          <w:color w:val="2563A8"/>
          <w:sz w:val="24"/>
          <w:szCs w:val="24"/>
        </w:rPr>
        <w:t xml:space="preserve">Data Cleaning</w:t>
      </w:r>
    </w:p>
    <w:p>
      <w:pPr>
        <w:pStyle w:val="Heading3"/>
        <w:spacing w:after="80" w:before="180"/>
      </w:pPr>
      <w:r>
        <w:rPr>
          <w:rFonts w:ascii="Georgia" w:cs="Georgia" w:eastAsia="Georgia" w:hAnsi="Georgia"/>
          <w:b/>
          <w:bCs/>
          <w:color w:val="1A6B3A"/>
          <w:sz w:val="22"/>
          <w:szCs w:val="22"/>
        </w:rPr>
        <w:t xml:space="preserve">Step 1 — Identifying Missing Values</w:t>
      </w:r>
    </w:p>
    <w:p>
      <w:pPr>
        <w:spacing w:after="120" w:before="0"/>
        <w:jc w:val="both"/>
      </w:pPr>
      <w:r>
        <w:rPr>
          <w:rFonts w:ascii="Georgia" w:cs="Georgia" w:eastAsia="Georgia" w:hAnsi="Georgia"/>
          <w:color w:val="1A1A1A"/>
          <w:sz w:val="22"/>
          <w:szCs w:val="22"/>
        </w:rPr>
        <w:t xml:space="preserve">The weightLogInfo dataset contained a column 'Fat' with extensive missing values. Since this column offered no usable insight given the missing data, it was dropped entirely using select() to retain only the analytically relevant columns: Id, Date, WeightKg, WeightPounds, BMI, IsManualReport, and LogId.</w:t>
      </w:r>
    </w:p>
    <w:p>
      <w:pPr>
        <w:pStyle w:val="Heading3"/>
        <w:spacing w:after="80" w:before="180"/>
      </w:pPr>
      <w:r>
        <w:rPr>
          <w:rFonts w:ascii="Georgia" w:cs="Georgia" w:eastAsia="Georgia" w:hAnsi="Georgia"/>
          <w:b/>
          <w:bCs/>
          <w:color w:val="1A6B3A"/>
          <w:sz w:val="22"/>
          <w:szCs w:val="22"/>
        </w:rPr>
        <w:t xml:space="preserve">Step 2 — Checking and Removing Duplicates</w:t>
      </w:r>
    </w:p>
    <w:p>
      <w:pPr>
        <w:pStyle w:val="ListParagraph"/>
        <w:numPr>
          <w:ilvl w:val="0"/>
          <w:numId w:val="2"/>
        </w:numPr>
        <w:spacing w:after="80"/>
      </w:pPr>
      <w:r>
        <w:rPr>
          <w:rFonts w:ascii="Georgia" w:cs="Georgia" w:eastAsia="Georgia" w:hAnsi="Georgia"/>
          <w:b w:val="false"/>
          <w:bCs w:val="false"/>
          <w:color w:val="1A1A1A"/>
          <w:sz w:val="22"/>
          <w:szCs w:val="22"/>
        </w:rPr>
        <w:t xml:space="preserve">dailyActivity: 0 duplicate rows found.</w:t>
      </w:r>
    </w:p>
    <w:p>
      <w:pPr>
        <w:pStyle w:val="ListParagraph"/>
        <w:numPr>
          <w:ilvl w:val="0"/>
          <w:numId w:val="2"/>
        </w:numPr>
        <w:spacing w:after="80"/>
      </w:pPr>
      <w:r>
        <w:rPr>
          <w:rFonts w:ascii="Georgia" w:cs="Georgia" w:eastAsia="Georgia" w:hAnsi="Georgia"/>
          <w:b w:val="false"/>
          <w:bCs w:val="false"/>
          <w:color w:val="1A1A1A"/>
          <w:sz w:val="22"/>
          <w:szCs w:val="22"/>
        </w:rPr>
        <w:t xml:space="preserve">sleepDay: 3 duplicate rows found and removed using unique(). Final row count: 410.</w:t>
      </w:r>
    </w:p>
    <w:p>
      <w:pPr>
        <w:pStyle w:val="ListParagraph"/>
        <w:numPr>
          <w:ilvl w:val="0"/>
          <w:numId w:val="2"/>
        </w:numPr>
        <w:spacing w:after="80"/>
      </w:pPr>
      <w:r>
        <w:rPr>
          <w:rFonts w:ascii="Georgia" w:cs="Georgia" w:eastAsia="Georgia" w:hAnsi="Georgia"/>
          <w:b w:val="false"/>
          <w:bCs w:val="false"/>
          <w:color w:val="1A1A1A"/>
          <w:sz w:val="22"/>
          <w:szCs w:val="22"/>
        </w:rPr>
        <w:t xml:space="preserve">weightLogInfo: 0 duplicate rows found.</w:t>
      </w:r>
    </w:p>
    <w:p>
      <w:pPr>
        <w:pStyle w:val="Heading3"/>
        <w:spacing w:after="80" w:before="180"/>
      </w:pPr>
      <w:r>
        <w:rPr>
          <w:rFonts w:ascii="Georgia" w:cs="Georgia" w:eastAsia="Georgia" w:hAnsi="Georgia"/>
          <w:b/>
          <w:bCs/>
          <w:color w:val="1A6B3A"/>
          <w:sz w:val="22"/>
          <w:szCs w:val="22"/>
        </w:rPr>
        <w:t xml:space="preserve">Step 3 — Date/Time Standardization</w:t>
      </w:r>
    </w:p>
    <w:p>
      <w:pPr>
        <w:spacing w:after="120" w:before="0"/>
        <w:jc w:val="both"/>
      </w:pPr>
      <w:r>
        <w:rPr>
          <w:rFonts w:ascii="Georgia" w:cs="Georgia" w:eastAsia="Georgia" w:hAnsi="Georgia"/>
          <w:color w:val="1A1A1A"/>
          <w:sz w:val="22"/>
          <w:szCs w:val="22"/>
        </w:rPr>
        <w:t xml:space="preserve">The sleepDay and weightLogInfo datasets stored date and time in a single combined column. These were split into separate Date and Time columns using separate(). All date columns across all three datasets were then converted from character format to R's Date class using as.Date() with the format pattern '%m/%d/%Y'. This standardization is required for any time-based aggregation or plotting.</w:t>
      </w:r>
    </w:p>
    <w:p>
      <w:pPr>
        <w:pStyle w:val="Heading3"/>
        <w:spacing w:after="80" w:before="180"/>
      </w:pPr>
      <w:r>
        <w:rPr>
          <w:rFonts w:ascii="Georgia" w:cs="Georgia" w:eastAsia="Georgia" w:hAnsi="Georgia"/>
          <w:b/>
          <w:bCs/>
          <w:color w:val="1A6B3A"/>
          <w:sz w:val="22"/>
          <w:szCs w:val="22"/>
        </w:rPr>
        <w:t xml:space="preserve">Step 4 — Verifying Unique Users</w:t>
      </w:r>
    </w:p>
    <w:p>
      <w:pPr>
        <w:spacing w:after="120" w:before="0"/>
        <w:jc w:val="both"/>
      </w:pPr>
      <w:r>
        <w:rPr>
          <w:rFonts w:ascii="Georgia" w:cs="Georgia" w:eastAsia="Georgia" w:hAnsi="Georgia"/>
          <w:color w:val="1A1A1A"/>
          <w:sz w:val="22"/>
          <w:szCs w:val="22"/>
        </w:rPr>
        <w:t xml:space="preserve">n_distinct() was used to count unique user IDs in each dataset:</w:t>
      </w:r>
    </w:p>
    <w:p>
      <w:pPr>
        <w:pStyle w:val="ListParagraph"/>
        <w:numPr>
          <w:ilvl w:val="0"/>
          <w:numId w:val="2"/>
        </w:numPr>
        <w:spacing w:after="80"/>
      </w:pPr>
      <w:r>
        <w:rPr>
          <w:rFonts w:ascii="Georgia" w:cs="Georgia" w:eastAsia="Georgia" w:hAnsi="Georgia"/>
          <w:b w:val="false"/>
          <w:bCs w:val="false"/>
          <w:color w:val="1A1A1A"/>
          <w:sz w:val="22"/>
          <w:szCs w:val="22"/>
        </w:rPr>
        <w:t xml:space="preserve">dailyActivity: 33 unique users (slightly above the stated 30 — likely a data collection artifact)</w:t>
      </w:r>
    </w:p>
    <w:p>
      <w:pPr>
        <w:pStyle w:val="ListParagraph"/>
        <w:numPr>
          <w:ilvl w:val="0"/>
          <w:numId w:val="2"/>
        </w:numPr>
        <w:spacing w:after="80"/>
      </w:pPr>
      <w:r>
        <w:rPr>
          <w:rFonts w:ascii="Georgia" w:cs="Georgia" w:eastAsia="Georgia" w:hAnsi="Georgia"/>
          <w:b w:val="false"/>
          <w:bCs w:val="false"/>
          <w:color w:val="1A1A1A"/>
          <w:sz w:val="22"/>
          <w:szCs w:val="22"/>
        </w:rPr>
        <w:t xml:space="preserve">sleepDay: 24 unique users (not all users tracked sleep)</w:t>
      </w:r>
    </w:p>
    <w:p>
      <w:pPr>
        <w:pStyle w:val="ListParagraph"/>
        <w:numPr>
          <w:ilvl w:val="0"/>
          <w:numId w:val="2"/>
        </w:numPr>
        <w:spacing w:after="80"/>
      </w:pPr>
      <w:r>
        <w:rPr>
          <w:rFonts w:ascii="Georgia" w:cs="Georgia" w:eastAsia="Georgia" w:hAnsi="Georgia"/>
          <w:b w:val="false"/>
          <w:bCs w:val="false"/>
          <w:color w:val="1A1A1A"/>
          <w:sz w:val="22"/>
          <w:szCs w:val="22"/>
        </w:rPr>
        <w:t xml:space="preserve">weightLogInfo: 8 unique users (very low participation — weight data is limited)</w:t>
      </w:r>
    </w:p>
    <w:p>
      <w:pPr>
        <w:pStyle w:val="Heading2"/>
        <w:spacing w:after="120" w:before="280"/>
      </w:pPr>
      <w:r>
        <w:rPr>
          <w:rFonts w:ascii="Georgia" w:cs="Georgia" w:eastAsia="Georgia" w:hAnsi="Georgia"/>
          <w:b/>
          <w:bCs/>
          <w:color w:val="2563A8"/>
          <w:sz w:val="24"/>
          <w:szCs w:val="24"/>
        </w:rPr>
        <w:t xml:space="preserve">Feature Engineering</w:t>
      </w:r>
    </w:p>
    <w:p>
      <w:pPr>
        <w:spacing w:after="120" w:before="0"/>
        <w:jc w:val="both"/>
      </w:pPr>
      <w:r>
        <w:rPr>
          <w:rFonts w:ascii="Georgia" w:cs="Georgia" w:eastAsia="Georgia" w:hAnsi="Georgia"/>
          <w:color w:val="1A1A1A"/>
          <w:sz w:val="22"/>
          <w:szCs w:val="22"/>
        </w:rPr>
        <w:t xml:space="preserve">To enable day-of-week analysis on the sleep dataset, a new column DayOfWeek was created using weekdays() applied to the parsed Date column. This allows grouping and aggregating sleep minutes by day of the week for visualization.</w:t>
      </w:r>
    </w:p>
    <w:p>
      <w:pPr>
        <w:spacing w:after="60"/>
      </w:pPr>
      <w:r>
        <w:t xml:space="preserve"/>
      </w:r>
    </w:p>
    <w:p>
      <w:pPr>
        <w:spacing w:after="120" w:before="0"/>
        <w:jc w:val="both"/>
      </w:pPr>
      <w:r>
        <w:rPr>
          <w:rFonts w:ascii="Georgia" w:cs="Georgia" w:eastAsia="Georgia" w:hAnsi="Georgia"/>
          <w:color w:val="1A1A1A"/>
          <w:sz w:val="22"/>
          <w:szCs w:val="22"/>
        </w:rPr>
        <w:t xml:space="preserve">In Google Sheets, a SWITCH/WEEKDAY formula was applied to the ActivityDate column in the daily activity data to generate day-of-week labels, and COUNTIF was used to calculate the frequency of each day for the usage bar chart.</w:t>
      </w:r>
    </w:p>
    <w:p>
      <w:pPr>
        <w:pStyle w:val="Heading2"/>
        <w:spacing w:after="120" w:before="280"/>
      </w:pPr>
      <w:r>
        <w:rPr>
          <w:rFonts w:ascii="Georgia" w:cs="Georgia" w:eastAsia="Georgia" w:hAnsi="Georgia"/>
          <w:b/>
          <w:bCs/>
          <w:color w:val="2563A8"/>
          <w:sz w:val="24"/>
          <w:szCs w:val="24"/>
        </w:rPr>
        <w:t xml:space="preserve">Post-Processing Validation</w:t>
      </w:r>
    </w:p>
    <w:p>
      <w:pPr>
        <w:spacing w:after="120" w:before="0"/>
        <w:jc w:val="both"/>
      </w:pPr>
      <w:r>
        <w:rPr>
          <w:rFonts w:ascii="Georgia" w:cs="Georgia" w:eastAsia="Georgia" w:hAnsi="Georgia"/>
          <w:color w:val="1A1A1A"/>
          <w:sz w:val="22"/>
          <w:szCs w:val="22"/>
        </w:rPr>
        <w:t xml:space="preserve">After cleaning, row counts were verified against expected values to confirm no unintended data loss. Data types were re-checked using glimpse() to confirm Date columns had been correctly converted. Summary statistics using summary() were reviewed for each dataset to confirm no anomalous values (negatives, extreme outliers) remained before proceeding to analysis.</w:t>
      </w:r>
    </w:p>
    <w:p>
      <w:pPr>
        <w:spacing w:after="60"/>
      </w:pPr>
      <w:r>
        <w:t xml:space="preserve"/>
      </w:r>
    </w:p>
    <w:p>
      <w:r>
        <w:br w:type="page"/>
      </w:r>
    </w:p>
    <w:p>
      <w:pPr>
        <w:pStyle w:val="Heading1"/>
        <w:pBdr>
          <w:bottom w:val="single" w:color="2563A8" w:sz="8" w:space="4"/>
        </w:pBdr>
        <w:spacing w:after="160" w:before="420"/>
      </w:pPr>
      <w:r>
        <w:rPr>
          <w:rFonts w:ascii="Georgia" w:cs="Georgia" w:eastAsia="Georgia" w:hAnsi="Georgia"/>
          <w:b/>
          <w:bCs/>
          <w:color w:val="1A3C6E"/>
          <w:sz w:val="28"/>
          <w:szCs w:val="28"/>
        </w:rPr>
        <w:t xml:space="preserve">PHASE 4 — ANALYZE</w:t>
      </w:r>
    </w:p>
    <w:p>
      <w:pPr>
        <w:pStyle w:val="Heading2"/>
        <w:spacing w:after="120" w:before="280"/>
      </w:pPr>
      <w:r>
        <w:rPr>
          <w:rFonts w:ascii="Georgia" w:cs="Georgia" w:eastAsia="Georgia" w:hAnsi="Georgia"/>
          <w:b/>
          <w:bCs/>
          <w:color w:val="2563A8"/>
          <w:sz w:val="24"/>
          <w:szCs w:val="24"/>
        </w:rPr>
        <w:t xml:space="preserve">Analytical Approach</w:t>
      </w:r>
    </w:p>
    <w:p>
      <w:pPr>
        <w:spacing w:after="120" w:before="0"/>
        <w:jc w:val="both"/>
      </w:pPr>
      <w:r>
        <w:rPr>
          <w:rFonts w:ascii="Georgia" w:cs="Georgia" w:eastAsia="Georgia" w:hAnsi="Georgia"/>
          <w:color w:val="1A1A1A"/>
          <w:sz w:val="22"/>
          <w:szCs w:val="22"/>
        </w:rPr>
        <w:t xml:space="preserve">Analysis was conducted across three datasets — daily activity, sleep, and weight — using descriptive statistics and correlation analysis. The central goal is to identify behavioral patterns that can inform Bellabeat's understanding of how women interact with health tracking devices, and where the biggest wellness gaps exist.</w:t>
      </w:r>
    </w:p>
    <w:p>
      <w:pPr>
        <w:pStyle w:val="Heading2"/>
        <w:spacing w:after="120" w:before="280"/>
      </w:pPr>
      <w:r>
        <w:rPr>
          <w:rFonts w:ascii="Georgia" w:cs="Georgia" w:eastAsia="Georgia" w:hAnsi="Georgia"/>
          <w:b/>
          <w:bCs/>
          <w:color w:val="2563A8"/>
          <w:sz w:val="24"/>
          <w:szCs w:val="24"/>
        </w:rPr>
        <w:t xml:space="preserve">4.1 Daily Activity Analysis</w:t>
      </w:r>
    </w:p>
    <w:p>
      <w:pPr>
        <w:pStyle w:val="Heading3"/>
        <w:spacing w:after="80" w:before="180"/>
      </w:pPr>
      <w:r>
        <w:rPr>
          <w:rFonts w:ascii="Georgia" w:cs="Georgia" w:eastAsia="Georgia" w:hAnsi="Georgia"/>
          <w:b/>
          <w:bCs/>
          <w:color w:val="1A6B3A"/>
          <w:sz w:val="22"/>
          <w:szCs w:val="22"/>
        </w:rPr>
        <w:t xml:space="preserve">Descriptive Statistics — Key Numbers</w:t>
      </w:r>
    </w:p>
    <w:p>
      <w:pPr>
        <w:spacing w:after="80"/>
      </w:pPr>
      <w:r>
        <w:rPr>
          <w:rFonts w:ascii="Georgia" w:cs="Georgia" w:eastAsia="Georgia" w:hAnsi="Georgia"/>
          <w:b/>
          <w:bCs/>
          <w:color w:val="2563A8"/>
          <w:sz w:val="22"/>
          <w:szCs w:val="22"/>
        </w:rPr>
        <w:t xml:space="preserve">Average daily steps: </w:t>
      </w:r>
      <w:r>
        <w:rPr>
          <w:rFonts w:ascii="Georgia" w:cs="Georgia" w:eastAsia="Georgia" w:hAnsi="Georgia"/>
          <w:color w:val="1A1A1A"/>
          <w:sz w:val="22"/>
          <w:szCs w:val="22"/>
        </w:rPr>
        <w:t xml:space="preserve">7,638 steps (CDC recommendation: 10,000 steps/day)</w:t>
      </w:r>
    </w:p>
    <w:p>
      <w:pPr>
        <w:spacing w:after="80"/>
      </w:pPr>
      <w:r>
        <w:rPr>
          <w:rFonts w:ascii="Georgia" w:cs="Georgia" w:eastAsia="Georgia" w:hAnsi="Georgia"/>
          <w:b/>
          <w:bCs/>
          <w:color w:val="2563A8"/>
          <w:sz w:val="22"/>
          <w:szCs w:val="22"/>
        </w:rPr>
        <w:t xml:space="preserve">Average daily distance: </w:t>
      </w:r>
      <w:r>
        <w:rPr>
          <w:rFonts w:ascii="Georgia" w:cs="Georgia" w:eastAsia="Georgia" w:hAnsi="Georgia"/>
          <w:color w:val="1A1A1A"/>
          <w:sz w:val="22"/>
          <w:szCs w:val="22"/>
        </w:rPr>
        <w:t xml:space="preserve">5.49 km</w:t>
      </w:r>
    </w:p>
    <w:p>
      <w:pPr>
        <w:spacing w:after="80"/>
      </w:pPr>
      <w:r>
        <w:rPr>
          <w:rFonts w:ascii="Georgia" w:cs="Georgia" w:eastAsia="Georgia" w:hAnsi="Georgia"/>
          <w:b/>
          <w:bCs/>
          <w:color w:val="2563A8"/>
          <w:sz w:val="22"/>
          <w:szCs w:val="22"/>
        </w:rPr>
        <w:t xml:space="preserve">Average sedentary time: </w:t>
      </w:r>
      <w:r>
        <w:rPr>
          <w:rFonts w:ascii="Georgia" w:cs="Georgia" w:eastAsia="Georgia" w:hAnsi="Georgia"/>
          <w:color w:val="1A1A1A"/>
          <w:sz w:val="22"/>
          <w:szCs w:val="22"/>
        </w:rPr>
        <w:t xml:space="preserve">991 minutes/day (16.5 hours — CDC recommends ≤ 8 hours)</w:t>
      </w:r>
    </w:p>
    <w:p>
      <w:pPr>
        <w:spacing w:after="80"/>
      </w:pPr>
      <w:r>
        <w:rPr>
          <w:rFonts w:ascii="Georgia" w:cs="Georgia" w:eastAsia="Georgia" w:hAnsi="Georgia"/>
          <w:b/>
          <w:bCs/>
          <w:color w:val="2563A8"/>
          <w:sz w:val="22"/>
          <w:szCs w:val="22"/>
        </w:rPr>
        <w:t xml:space="preserve">Average Very Active minutes: </w:t>
      </w:r>
      <w:r>
        <w:rPr>
          <w:rFonts w:ascii="Georgia" w:cs="Georgia" w:eastAsia="Georgia" w:hAnsi="Georgia"/>
          <w:color w:val="1A1A1A"/>
          <w:sz w:val="22"/>
          <w:szCs w:val="22"/>
        </w:rPr>
        <w:t xml:space="preserve">21.16 min/day (WHO recommends ≥ 30 min/day)</w:t>
      </w:r>
    </w:p>
    <w:p>
      <w:pPr>
        <w:spacing w:after="80"/>
      </w:pPr>
      <w:r>
        <w:rPr>
          <w:rFonts w:ascii="Georgia" w:cs="Georgia" w:eastAsia="Georgia" w:hAnsi="Georgia"/>
          <w:b/>
          <w:bCs/>
          <w:color w:val="2563A8"/>
          <w:sz w:val="22"/>
          <w:szCs w:val="22"/>
        </w:rPr>
        <w:t xml:space="preserve">Average calories burned: </w:t>
      </w:r>
      <w:r>
        <w:rPr>
          <w:rFonts w:ascii="Georgia" w:cs="Georgia" w:eastAsia="Georgia" w:hAnsi="Georgia"/>
          <w:color w:val="1A1A1A"/>
          <w:sz w:val="22"/>
          <w:szCs w:val="22"/>
        </w:rPr>
        <w:t xml:space="preserve">2,304 kcal/day</w:t>
      </w:r>
    </w:p>
    <w:p>
      <w:pPr>
        <w:spacing w:after="60"/>
      </w:pPr>
      <w:r>
        <w:t xml:space="preserve"/>
      </w:r>
    </w:p>
    <w:p>
      <w:pPr>
        <w:pStyle w:val="Heading3"/>
        <w:spacing w:after="80" w:before="180"/>
      </w:pPr>
      <w:r>
        <w:rPr>
          <w:rFonts w:ascii="Georgia" w:cs="Georgia" w:eastAsia="Georgia" w:hAnsi="Georgia"/>
          <w:b/>
          <w:bCs/>
          <w:color w:val="1A6B3A"/>
          <w:sz w:val="22"/>
          <w:szCs w:val="22"/>
        </w:rPr>
        <w:t xml:space="preserve">Observations</w:t>
      </w:r>
    </w:p>
    <w:p>
      <w:pPr>
        <w:pStyle w:val="ListParagraph"/>
        <w:numPr>
          <w:ilvl w:val="0"/>
          <w:numId w:val="2"/>
        </w:numPr>
        <w:spacing w:after="80"/>
      </w:pPr>
      <w:r>
        <w:rPr>
          <w:rFonts w:ascii="Georgia" w:cs="Georgia" w:eastAsia="Georgia" w:hAnsi="Georgia"/>
          <w:b w:val="false"/>
          <w:bCs w:val="false"/>
          <w:color w:val="1A1A1A"/>
          <w:sz w:val="22"/>
          <w:szCs w:val="22"/>
        </w:rPr>
        <w:t xml:space="preserve">Users walk only 76% of the CDC-recommended 10,000 daily steps — a meaningful gap that represents a health opportunity.</w:t>
      </w:r>
    </w:p>
    <w:p>
      <w:pPr>
        <w:pStyle w:val="ListParagraph"/>
        <w:numPr>
          <w:ilvl w:val="0"/>
          <w:numId w:val="2"/>
        </w:numPr>
        <w:spacing w:after="80"/>
      </w:pPr>
      <w:r>
        <w:rPr>
          <w:rFonts w:ascii="Georgia" w:cs="Georgia" w:eastAsia="Georgia" w:hAnsi="Georgia"/>
          <w:b w:val="false"/>
          <w:bCs w:val="false"/>
          <w:color w:val="1A1A1A"/>
          <w:sz w:val="22"/>
          <w:szCs w:val="22"/>
        </w:rPr>
        <w:t xml:space="preserve">At 16.5 hours of sedentary time per day, users far exceed the CDC's recommended ceiling of 8 hours. This is likely attributable to desk jobs, screen time, and passive commuting.</w:t>
      </w:r>
    </w:p>
    <w:p>
      <w:pPr>
        <w:pStyle w:val="ListParagraph"/>
        <w:numPr>
          <w:ilvl w:val="0"/>
          <w:numId w:val="2"/>
        </w:numPr>
        <w:spacing w:after="80"/>
      </w:pPr>
      <w:r>
        <w:rPr>
          <w:rFonts w:ascii="Georgia" w:cs="Georgia" w:eastAsia="Georgia" w:hAnsi="Georgia"/>
          <w:b w:val="false"/>
          <w:bCs w:val="false"/>
          <w:color w:val="1A1A1A"/>
          <w:sz w:val="22"/>
          <w:szCs w:val="22"/>
        </w:rPr>
        <w:t xml:space="preserve">Average Very Active minutes (21.16 min) fall below the WHO's minimum recommendation of 30 minutes of intentional exercise per day.</w:t>
      </w:r>
    </w:p>
    <w:p>
      <w:pPr>
        <w:pStyle w:val="ListParagraph"/>
        <w:numPr>
          <w:ilvl w:val="0"/>
          <w:numId w:val="2"/>
        </w:numPr>
        <w:spacing w:after="80"/>
      </w:pPr>
      <w:r>
        <w:rPr>
          <w:rFonts w:ascii="Georgia" w:cs="Georgia" w:eastAsia="Georgia" w:hAnsi="Georgia"/>
          <w:b w:val="false"/>
          <w:bCs w:val="false"/>
          <w:color w:val="1A1A1A"/>
          <w:sz w:val="22"/>
          <w:szCs w:val="22"/>
        </w:rPr>
        <w:t xml:space="preserve">The majority of active time is Lightly Active — users are moving, but not intensely enough to meet health guidelines.</w:t>
      </w:r>
    </w:p>
    <w:p>
      <w:pPr>
        <w:pStyle w:val="Heading3"/>
        <w:spacing w:after="80" w:before="180"/>
      </w:pPr>
      <w:r>
        <w:rPr>
          <w:rFonts w:ascii="Georgia" w:cs="Georgia" w:eastAsia="Georgia" w:hAnsi="Georgia"/>
          <w:b/>
          <w:bCs/>
          <w:color w:val="1A6B3A"/>
          <w:sz w:val="22"/>
          <w:szCs w:val="22"/>
        </w:rPr>
        <w:t xml:space="preserve">Activity Level Distribution</w:t>
      </w:r>
    </w:p>
    <w:p>
      <w:pPr>
        <w:spacing w:after="120" w:before="0"/>
        <w:jc w:val="both"/>
      </w:pPr>
      <w:r>
        <w:rPr>
          <w:rFonts w:ascii="Georgia" w:cs="Georgia" w:eastAsia="Georgia" w:hAnsi="Georgia"/>
          <w:color w:val="1A1A1A"/>
          <w:sz w:val="22"/>
          <w:szCs w:val="22"/>
        </w:rPr>
        <w:t xml:space="preserve">When total minutes are broken down by activity intensity across all users and days, the distribution is heavily skewed toward inactivity: Sedentary minutes account for approximately 81.3% of all tracked time, Lightly Active for around 15.8%, Fairly Active for 1.1%, and Very Active for 1.7%. This means on average, only 2.8% of a user's day involves moderate-to-intense physical activity.</w:t>
      </w:r>
    </w:p>
    <w:p>
      <w:pPr>
        <w:pStyle w:val="Heading3"/>
        <w:spacing w:after="80" w:before="180"/>
      </w:pPr>
      <w:r>
        <w:rPr>
          <w:rFonts w:ascii="Georgia" w:cs="Georgia" w:eastAsia="Georgia" w:hAnsi="Georgia"/>
          <w:b/>
          <w:bCs/>
          <w:color w:val="1A6B3A"/>
          <w:sz w:val="22"/>
          <w:szCs w:val="22"/>
        </w:rPr>
        <w:t xml:space="preserve">FitBit Usage by Day of Week</w:t>
      </w:r>
    </w:p>
    <w:p>
      <w:pPr>
        <w:spacing w:after="120" w:before="0"/>
        <w:jc w:val="both"/>
      </w:pPr>
      <w:r>
        <w:rPr>
          <w:rFonts w:ascii="Georgia" w:cs="Georgia" w:eastAsia="Georgia" w:hAnsi="Georgia"/>
          <w:color w:val="1A1A1A"/>
          <w:sz w:val="22"/>
          <w:szCs w:val="22"/>
        </w:rPr>
        <w:t xml:space="preserve">Analysis of how frequently users logged activity across days of the week (via Google Sheets) reveals that Tuesday, Wednesday, and Thursday are the most active days. Tuesday shows the highest engagement, while Monday has the lowest usage rate at approximately 12.8%. This mid-week motivation pattern suggests users begin the week with low energy and build momentum through Tuesday.</w:t>
      </w:r>
    </w:p>
    <w:p>
      <w:pPr>
        <w:pStyle w:val="Heading2"/>
        <w:spacing w:after="120" w:before="280"/>
      </w:pPr>
      <w:r>
        <w:rPr>
          <w:rFonts w:ascii="Georgia" w:cs="Georgia" w:eastAsia="Georgia" w:hAnsi="Georgia"/>
          <w:b/>
          <w:bCs/>
          <w:color w:val="2563A8"/>
          <w:sz w:val="24"/>
          <w:szCs w:val="24"/>
        </w:rPr>
        <w:t xml:space="preserve">4.2 Sleep Analysis</w:t>
      </w:r>
    </w:p>
    <w:p>
      <w:pPr>
        <w:pStyle w:val="Heading3"/>
        <w:spacing w:after="80" w:before="180"/>
      </w:pPr>
      <w:r>
        <w:rPr>
          <w:rFonts w:ascii="Georgia" w:cs="Georgia" w:eastAsia="Georgia" w:hAnsi="Georgia"/>
          <w:b/>
          <w:bCs/>
          <w:color w:val="1A6B3A"/>
          <w:sz w:val="22"/>
          <w:szCs w:val="22"/>
        </w:rPr>
        <w:t xml:space="preserve">Descriptive Statistics — Key Numbers</w:t>
      </w:r>
    </w:p>
    <w:p>
      <w:pPr>
        <w:spacing w:after="80"/>
      </w:pPr>
      <w:r>
        <w:rPr>
          <w:rFonts w:ascii="Georgia" w:cs="Georgia" w:eastAsia="Georgia" w:hAnsi="Georgia"/>
          <w:b/>
          <w:bCs/>
          <w:color w:val="2563A8"/>
          <w:sz w:val="22"/>
          <w:szCs w:val="22"/>
        </w:rPr>
        <w:t xml:space="preserve">Average total sleep time: </w:t>
      </w:r>
      <w:r>
        <w:rPr>
          <w:rFonts w:ascii="Georgia" w:cs="Georgia" w:eastAsia="Georgia" w:hAnsi="Georgia"/>
          <w:color w:val="1A1A1A"/>
          <w:sz w:val="22"/>
          <w:szCs w:val="22"/>
        </w:rPr>
        <w:t xml:space="preserve">419 minutes (approximately 7 hours — within the 7–9 hour recommended range)</w:t>
      </w:r>
    </w:p>
    <w:p>
      <w:pPr>
        <w:spacing w:after="80"/>
      </w:pPr>
      <w:r>
        <w:rPr>
          <w:rFonts w:ascii="Georgia" w:cs="Georgia" w:eastAsia="Georgia" w:hAnsi="Georgia"/>
          <w:b/>
          <w:bCs/>
          <w:color w:val="2563A8"/>
          <w:sz w:val="22"/>
          <w:szCs w:val="22"/>
        </w:rPr>
        <w:t xml:space="preserve">Average time in bed: </w:t>
      </w:r>
      <w:r>
        <w:rPr>
          <w:rFonts w:ascii="Georgia" w:cs="Georgia" w:eastAsia="Georgia" w:hAnsi="Georgia"/>
          <w:color w:val="1A1A1A"/>
          <w:sz w:val="22"/>
          <w:szCs w:val="22"/>
        </w:rPr>
        <w:t xml:space="preserve">458 minutes (7 hours 38 minutes)</w:t>
      </w:r>
    </w:p>
    <w:p>
      <w:pPr>
        <w:spacing w:after="80"/>
      </w:pPr>
      <w:r>
        <w:rPr>
          <w:rFonts w:ascii="Georgia" w:cs="Georgia" w:eastAsia="Georgia" w:hAnsi="Georgia"/>
          <w:b/>
          <w:bCs/>
          <w:color w:val="2563A8"/>
          <w:sz w:val="22"/>
          <w:szCs w:val="22"/>
        </w:rPr>
        <w:t xml:space="preserve">Average time in bed but not asleep: </w:t>
      </w:r>
      <w:r>
        <w:rPr>
          <w:rFonts w:ascii="Georgia" w:cs="Georgia" w:eastAsia="Georgia" w:hAnsi="Georgia"/>
          <w:color w:val="1A1A1A"/>
          <w:sz w:val="22"/>
          <w:szCs w:val="22"/>
        </w:rPr>
        <w:t xml:space="preserve">39 minutes</w:t>
      </w:r>
    </w:p>
    <w:p>
      <w:pPr>
        <w:spacing w:after="60"/>
      </w:pPr>
      <w:r>
        <w:t xml:space="preserve"/>
      </w:r>
    </w:p>
    <w:p>
      <w:pPr>
        <w:pStyle w:val="Heading3"/>
        <w:spacing w:after="80" w:before="180"/>
      </w:pPr>
      <w:r>
        <w:rPr>
          <w:rFonts w:ascii="Georgia" w:cs="Georgia" w:eastAsia="Georgia" w:hAnsi="Georgia"/>
          <w:b/>
          <w:bCs/>
          <w:color w:val="1A6B3A"/>
          <w:sz w:val="22"/>
          <w:szCs w:val="22"/>
        </w:rPr>
        <w:t xml:space="preserve">Observations</w:t>
      </w:r>
    </w:p>
    <w:p>
      <w:pPr>
        <w:pStyle w:val="ListParagraph"/>
        <w:numPr>
          <w:ilvl w:val="0"/>
          <w:numId w:val="2"/>
        </w:numPr>
        <w:spacing w:after="80"/>
      </w:pPr>
      <w:r>
        <w:rPr>
          <w:rFonts w:ascii="Georgia" w:cs="Georgia" w:eastAsia="Georgia" w:hAnsi="Georgia"/>
          <w:b w:val="false"/>
          <w:bCs w:val="false"/>
          <w:color w:val="1A1A1A"/>
          <w:sz w:val="22"/>
          <w:szCs w:val="22"/>
        </w:rPr>
        <w:t xml:space="preserve">Users get adequate sleep on average (7 hours), falling within the 7–9 hour range recommended for adults.</w:t>
      </w:r>
    </w:p>
    <w:p>
      <w:pPr>
        <w:pStyle w:val="ListParagraph"/>
        <w:numPr>
          <w:ilvl w:val="0"/>
          <w:numId w:val="2"/>
        </w:numPr>
        <w:spacing w:after="80"/>
      </w:pPr>
      <w:r>
        <w:rPr>
          <w:rFonts w:ascii="Georgia" w:cs="Georgia" w:eastAsia="Georgia" w:hAnsi="Georgia"/>
          <w:b w:val="false"/>
          <w:bCs w:val="false"/>
          <w:color w:val="1A1A1A"/>
          <w:sz w:val="22"/>
          <w:szCs w:val="22"/>
        </w:rPr>
        <w:t xml:space="preserve">However, users spend approximately 39 minutes in bed before falling asleep — a signal of poor sleep onset or pre-sleep habits (screen time, stress).</w:t>
      </w:r>
    </w:p>
    <w:p>
      <w:pPr>
        <w:pStyle w:val="ListParagraph"/>
        <w:numPr>
          <w:ilvl w:val="0"/>
          <w:numId w:val="2"/>
        </w:numPr>
        <w:spacing w:after="80"/>
      </w:pPr>
      <w:r>
        <w:rPr>
          <w:rFonts w:ascii="Georgia" w:cs="Georgia" w:eastAsia="Georgia" w:hAnsi="Georgia"/>
          <w:b w:val="false"/>
          <w:bCs w:val="false"/>
          <w:color w:val="1A1A1A"/>
          <w:sz w:val="22"/>
          <w:szCs w:val="22"/>
        </w:rPr>
        <w:t xml:space="preserve">Sunday is the day users get the most total sleep, while Wednesday shows the highest total minutes asleep aggregated across users.</w:t>
      </w:r>
    </w:p>
    <w:p>
      <w:pPr>
        <w:pStyle w:val="ListParagraph"/>
        <w:numPr>
          <w:ilvl w:val="0"/>
          <w:numId w:val="2"/>
        </w:numPr>
        <w:spacing w:after="80"/>
      </w:pPr>
      <w:r>
        <w:rPr>
          <w:rFonts w:ascii="Georgia" w:cs="Georgia" w:eastAsia="Georgia" w:hAnsi="Georgia"/>
          <w:b w:val="false"/>
          <w:bCs w:val="false"/>
          <w:color w:val="1A1A1A"/>
          <w:sz w:val="22"/>
          <w:szCs w:val="22"/>
        </w:rPr>
        <w:t xml:space="preserve">Only 24 out of 33 users tracked sleep at all — suggesting sleep tracking is an underused feature with room to grow adoption.</w:t>
      </w:r>
    </w:p>
    <w:p>
      <w:pPr>
        <w:pStyle w:val="Heading3"/>
        <w:spacing w:after="80" w:before="180"/>
      </w:pPr>
      <w:r>
        <w:rPr>
          <w:rFonts w:ascii="Georgia" w:cs="Georgia" w:eastAsia="Georgia" w:hAnsi="Georgia"/>
          <w:b/>
          <w:bCs/>
          <w:color w:val="1A6B3A"/>
          <w:sz w:val="22"/>
          <w:szCs w:val="22"/>
        </w:rPr>
        <w:t xml:space="preserve">Correlation: Sedentary Time vs. Sleep Quality</w:t>
      </w:r>
    </w:p>
    <w:p>
      <w:pPr>
        <w:spacing w:after="120" w:before="0"/>
        <w:jc w:val="both"/>
      </w:pPr>
      <w:r>
        <w:rPr>
          <w:rFonts w:ascii="Georgia" w:cs="Georgia" w:eastAsia="Georgia" w:hAnsi="Georgia"/>
          <w:color w:val="1A1A1A"/>
          <w:sz w:val="22"/>
          <w:szCs w:val="22"/>
        </w:rPr>
        <w:t xml:space="preserve">A merged dataset combining daily activity and sleep data was used to calculate the correlation between sedentary minutes and total minutes asleep. The Pearson correlation coefficient is -0.6, indicating a moderate-to-strong negative correlation: as sedentary time increases, total sleep time decreases.</w:t>
      </w:r>
    </w:p>
    <w:p>
      <w:pPr>
        <w:spacing w:after="60"/>
      </w:pPr>
      <w:r>
        <w:t xml:space="preserve"/>
      </w:r>
    </w:p>
    <w:p>
      <w:pPr>
        <w:spacing w:after="120" w:before="0"/>
        <w:jc w:val="both"/>
      </w:pPr>
      <w:r>
        <w:rPr>
          <w:rFonts w:ascii="Georgia" w:cs="Georgia" w:eastAsia="Georgia" w:hAnsi="Georgia"/>
          <w:color w:val="1A1A1A"/>
          <w:sz w:val="22"/>
          <w:szCs w:val="22"/>
        </w:rPr>
        <w:t xml:space="preserve">This is one of the most actionable findings in the analysis. It provides a data-backed rationale for Bellabeat to message users around the connection between reducing sedentary time during the day and improving sleep quality at night — a direct link between two of Bellabeat's core tracking features.</w:t>
      </w:r>
    </w:p>
    <w:p>
      <w:pPr>
        <w:pStyle w:val="Heading2"/>
        <w:spacing w:after="120" w:before="280"/>
      </w:pPr>
      <w:r>
        <w:rPr>
          <w:rFonts w:ascii="Georgia" w:cs="Georgia" w:eastAsia="Georgia" w:hAnsi="Georgia"/>
          <w:b/>
          <w:bCs/>
          <w:color w:val="2563A8"/>
          <w:sz w:val="24"/>
          <w:szCs w:val="24"/>
        </w:rPr>
        <w:t xml:space="preserve">4.3 Steps vs. Calories Correlation</w:t>
      </w:r>
    </w:p>
    <w:p>
      <w:pPr>
        <w:spacing w:after="120" w:before="0"/>
        <w:jc w:val="both"/>
      </w:pPr>
      <w:r>
        <w:rPr>
          <w:rFonts w:ascii="Georgia" w:cs="Georgia" w:eastAsia="Georgia" w:hAnsi="Georgia"/>
          <w:color w:val="1A1A1A"/>
          <w:sz w:val="22"/>
          <w:szCs w:val="22"/>
        </w:rPr>
        <w:t xml:space="preserve">A scatter plot of TotalSteps against Calories burned shows a clear positive correlation: users who take more steps burn more calories. This is an intuitive finding but serves as an important validation of data integrity — the tracker is capturing genuine physical effort rather than noise.</w:t>
      </w:r>
    </w:p>
    <w:p>
      <w:pPr>
        <w:spacing w:after="60"/>
      </w:pPr>
      <w:r>
        <w:t xml:space="preserve"/>
      </w:r>
    </w:p>
    <w:p>
      <w:pPr>
        <w:spacing w:after="120" w:before="0"/>
        <w:jc w:val="both"/>
      </w:pPr>
      <w:r>
        <w:rPr>
          <w:rFonts w:ascii="Georgia" w:cs="Georgia" w:eastAsia="Georgia" w:hAnsi="Georgia"/>
          <w:color w:val="1A1A1A"/>
          <w:sz w:val="22"/>
          <w:szCs w:val="22"/>
        </w:rPr>
        <w:t xml:space="preserve">For Bellabeat, this correlation supports step-count as a simple, motivating metric to promote — users can see a direct impact on calorie burn from increasing their daily steps, making it a compelling goal-setting lever.</w:t>
      </w:r>
    </w:p>
    <w:p>
      <w:pPr>
        <w:pStyle w:val="Heading2"/>
        <w:spacing w:after="120" w:before="280"/>
      </w:pPr>
      <w:r>
        <w:rPr>
          <w:rFonts w:ascii="Georgia" w:cs="Georgia" w:eastAsia="Georgia" w:hAnsi="Georgia"/>
          <w:b/>
          <w:bCs/>
          <w:color w:val="2563A8"/>
          <w:sz w:val="24"/>
          <w:szCs w:val="24"/>
        </w:rPr>
        <w:t xml:space="preserve">4.4 Weight and BMI Analysis</w:t>
      </w:r>
    </w:p>
    <w:p>
      <w:pPr>
        <w:spacing w:after="120" w:before="0"/>
        <w:jc w:val="both"/>
      </w:pPr>
      <w:r>
        <w:rPr>
          <w:rFonts w:ascii="Georgia" w:cs="Georgia" w:eastAsia="Georgia" w:hAnsi="Georgia"/>
          <w:color w:val="1A1A1A"/>
          <w:sz w:val="22"/>
          <w:szCs w:val="22"/>
        </w:rPr>
        <w:t xml:space="preserve">Due to the very limited sample size (8 users), weight data conclusions must be treated with extreme caution. With that caveat:</w:t>
      </w:r>
    </w:p>
    <w:p>
      <w:pPr>
        <w:pStyle w:val="ListParagraph"/>
        <w:numPr>
          <w:ilvl w:val="0"/>
          <w:numId w:val="2"/>
        </w:numPr>
        <w:spacing w:after="80"/>
      </w:pPr>
      <w:r>
        <w:rPr>
          <w:rFonts w:ascii="Georgia" w:cs="Georgia" w:eastAsia="Georgia" w:hAnsi="Georgia"/>
          <w:b w:val="false"/>
          <w:bCs w:val="false"/>
          <w:color w:val="1A1A1A"/>
          <w:sz w:val="22"/>
          <w:szCs w:val="22"/>
        </w:rPr>
        <w:t xml:space="preserve">Average BMI: 25.19 — which falls in the 'overweight' range per WHO classification (normal: 18.5–24.9).</w:t>
      </w:r>
    </w:p>
    <w:p>
      <w:pPr>
        <w:pStyle w:val="ListParagraph"/>
        <w:numPr>
          <w:ilvl w:val="0"/>
          <w:numId w:val="2"/>
        </w:numPr>
        <w:spacing w:after="80"/>
      </w:pPr>
      <w:r>
        <w:rPr>
          <w:rFonts w:ascii="Georgia" w:cs="Georgia" w:eastAsia="Georgia" w:hAnsi="Georgia"/>
          <w:b w:val="false"/>
          <w:bCs w:val="false"/>
          <w:color w:val="1A1A1A"/>
          <w:sz w:val="22"/>
          <w:szCs w:val="22"/>
        </w:rPr>
        <w:t xml:space="preserve">Average weight: 72 kg (158.8 lbs).</w:t>
      </w:r>
    </w:p>
    <w:p>
      <w:pPr>
        <w:pStyle w:val="ListParagraph"/>
        <w:numPr>
          <w:ilvl w:val="0"/>
          <w:numId w:val="2"/>
        </w:numPr>
        <w:spacing w:after="80"/>
      </w:pPr>
      <w:r>
        <w:rPr>
          <w:rFonts w:ascii="Georgia" w:cs="Georgia" w:eastAsia="Georgia" w:hAnsi="Georgia"/>
          <w:b w:val="false"/>
          <w:bCs w:val="false"/>
          <w:color w:val="1A1A1A"/>
          <w:sz w:val="22"/>
          <w:szCs w:val="22"/>
        </w:rPr>
        <w:t xml:space="preserve">6 of the 8 users used manual logging rather than automatic syncing, suggesting the weight tracking feature has low automation adoption.</w:t>
      </w:r>
    </w:p>
    <w:p>
      <w:pPr>
        <w:spacing w:after="60"/>
      </w:pPr>
      <w:r>
        <w:t xml:space="preserve"/>
      </w:r>
    </w:p>
    <w:p>
      <w:pPr>
        <w:spacing w:after="120" w:before="0"/>
        <w:jc w:val="both"/>
      </w:pPr>
      <w:r>
        <w:rPr>
          <w:rFonts w:ascii="Georgia" w:cs="Georgia" w:eastAsia="Georgia" w:hAnsi="Georgia"/>
          <w:color w:val="1A1A1A"/>
          <w:sz w:val="22"/>
          <w:szCs w:val="22"/>
        </w:rPr>
        <w:t xml:space="preserve">The low participation rate in weight tracking (8 out of 33 users) is itself a finding — it suggests users either find weight tracking cumbersome, stigmatizing, or not valuable enough to maintain consistently.</w:t>
      </w:r>
    </w:p>
    <w:p>
      <w:pPr>
        <w:pStyle w:val="Heading2"/>
        <w:spacing w:after="120" w:before="280"/>
      </w:pPr>
      <w:r>
        <w:rPr>
          <w:rFonts w:ascii="Georgia" w:cs="Georgia" w:eastAsia="Georgia" w:hAnsi="Georgia"/>
          <w:b/>
          <w:bCs/>
          <w:color w:val="2563A8"/>
          <w:sz w:val="24"/>
          <w:szCs w:val="24"/>
        </w:rPr>
        <w:t xml:space="preserve">4.5 Key Insights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0405A" w:sz="4"/>
              <w:left w:val="single" w:color="C0405A" w:sz="4"/>
              <w:bottom w:val="single" w:color="C0405A" w:sz="4"/>
              <w:right w:val="single" w:color="C0405A" w:sz="4"/>
            </w:tcBorders>
            <w:shd w:fill="C0405A" w:val="clear"/>
            <w:tcMar>
              <w:top w:type="dxa" w:w="120"/>
              <w:left w:type="dxa" w:w="120"/>
              <w:bottom w:type="dxa" w:w="120"/>
              <w:right w:type="dxa" w:w="120"/>
            </w:tcMar>
            <w:vAlign w:val="center"/>
          </w:tcPr>
          <w:p>
            <w:pPr>
              <w:jc w:val="center"/>
            </w:pPr>
            <w:r>
              <w:rPr>
                <w:rFonts w:ascii="Georgia" w:cs="Georgia" w:eastAsia="Georgia" w:hAnsi="Georgia"/>
                <w:b/>
                <w:bCs/>
                <w:color w:val="FFFFFF"/>
                <w:sz w:val="28"/>
                <w:szCs w:val="28"/>
              </w:rPr>
              <w:t xml:space="preserve">1</w:t>
            </w:r>
          </w:p>
        </w:tc>
        <w:tc>
          <w:tcPr>
            <w:tcW w:type="dxa" w:w="8880"/>
            <w:tcBorders>
              <w:top w:val="single" w:color="C0405A" w:sz="4"/>
              <w:left w:val="single" w:color="C0405A" w:sz="4"/>
              <w:bottom w:val="single" w:color="C0405A" w:sz="4"/>
              <w:right w:val="single" w:color="C0405A" w:sz="4"/>
            </w:tcBorders>
            <w:shd w:fill="FDF0F2" w:val="clear"/>
            <w:tcMar>
              <w:top w:type="dxa" w:w="120"/>
              <w:left w:type="dxa" w:w="200"/>
              <w:bottom w:type="dxa" w:w="120"/>
              <w:right w:type="dxa" w:w="160"/>
            </w:tcMar>
          </w:tcPr>
          <w:p>
            <w:pPr>
              <w:spacing w:after="60"/>
            </w:pPr>
            <w:r>
              <w:rPr>
                <w:rFonts w:ascii="Georgia" w:cs="Georgia" w:eastAsia="Georgia" w:hAnsi="Georgia"/>
                <w:b/>
                <w:bCs/>
                <w:color w:val="1A3C6E"/>
                <w:sz w:val="22"/>
                <w:szCs w:val="22"/>
              </w:rPr>
              <w:t xml:space="preserve">Users Are Significantly Sedentary — The Biggest Wellness Gap</w:t>
            </w:r>
          </w:p>
          <w:p>
            <w:pPr>
              <w:spacing w:after="0"/>
            </w:pPr>
            <w:r>
              <w:rPr>
                <w:rFonts w:ascii="Georgia" w:cs="Georgia" w:eastAsia="Georgia" w:hAnsi="Georgia"/>
                <w:color w:val="1A1A1A"/>
                <w:sz w:val="20"/>
                <w:szCs w:val="20"/>
              </w:rPr>
              <w:t xml:space="preserve">At 16.5 hours of sedentary time per day and only 21 minutes of vigorous activity, users fall far short of health guidelines. This is Bellabeat's largest opportunity: position its products as the daily nudge that helps women move more, sit less, and build healthier routines.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0405A" w:sz="4"/>
              <w:left w:val="single" w:color="C0405A" w:sz="4"/>
              <w:bottom w:val="single" w:color="C0405A" w:sz="4"/>
              <w:right w:val="single" w:color="C0405A" w:sz="4"/>
            </w:tcBorders>
            <w:shd w:fill="C0405A" w:val="clear"/>
            <w:tcMar>
              <w:top w:type="dxa" w:w="120"/>
              <w:left w:type="dxa" w:w="120"/>
              <w:bottom w:type="dxa" w:w="120"/>
              <w:right w:type="dxa" w:w="120"/>
            </w:tcMar>
            <w:vAlign w:val="center"/>
          </w:tcPr>
          <w:p>
            <w:pPr>
              <w:jc w:val="center"/>
            </w:pPr>
            <w:r>
              <w:rPr>
                <w:rFonts w:ascii="Georgia" w:cs="Georgia" w:eastAsia="Georgia" w:hAnsi="Georgia"/>
                <w:b/>
                <w:bCs/>
                <w:color w:val="FFFFFF"/>
                <w:sz w:val="28"/>
                <w:szCs w:val="28"/>
              </w:rPr>
              <w:t xml:space="preserve">2</w:t>
            </w:r>
          </w:p>
        </w:tc>
        <w:tc>
          <w:tcPr>
            <w:tcW w:type="dxa" w:w="8880"/>
            <w:tcBorders>
              <w:top w:val="single" w:color="C0405A" w:sz="4"/>
              <w:left w:val="single" w:color="C0405A" w:sz="4"/>
              <w:bottom w:val="single" w:color="C0405A" w:sz="4"/>
              <w:right w:val="single" w:color="C0405A" w:sz="4"/>
            </w:tcBorders>
            <w:shd w:fill="FDF0F2" w:val="clear"/>
            <w:tcMar>
              <w:top w:type="dxa" w:w="120"/>
              <w:left w:type="dxa" w:w="200"/>
              <w:bottom w:type="dxa" w:w="120"/>
              <w:right w:type="dxa" w:w="160"/>
            </w:tcMar>
          </w:tcPr>
          <w:p>
            <w:pPr>
              <w:spacing w:after="60"/>
            </w:pPr>
            <w:r>
              <w:rPr>
                <w:rFonts w:ascii="Georgia" w:cs="Georgia" w:eastAsia="Georgia" w:hAnsi="Georgia"/>
                <w:b/>
                <w:bCs/>
                <w:color w:val="1A3C6E"/>
                <w:sz w:val="22"/>
                <w:szCs w:val="22"/>
              </w:rPr>
              <w:t xml:space="preserve">More Sitting = Worse Sleep (Correlation: -0.6)</w:t>
            </w:r>
          </w:p>
          <w:p>
            <w:pPr>
              <w:spacing w:after="0"/>
            </w:pPr>
            <w:r>
              <w:rPr>
                <w:rFonts w:ascii="Georgia" w:cs="Georgia" w:eastAsia="Georgia" w:hAnsi="Georgia"/>
                <w:color w:val="1A1A1A"/>
                <w:sz w:val="20"/>
                <w:szCs w:val="20"/>
              </w:rPr>
              <w:t xml:space="preserve">The negative correlation between sedentary minutes and sleep time is one of the most powerful insights in the data. Bellabeat can build messaging that connects daytime movement to nighttime recovery — encouraging activity not just for fitness, but for better sleep quality.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0405A" w:sz="4"/>
              <w:left w:val="single" w:color="C0405A" w:sz="4"/>
              <w:bottom w:val="single" w:color="C0405A" w:sz="4"/>
              <w:right w:val="single" w:color="C0405A" w:sz="4"/>
            </w:tcBorders>
            <w:shd w:fill="C0405A" w:val="clear"/>
            <w:tcMar>
              <w:top w:type="dxa" w:w="120"/>
              <w:left w:type="dxa" w:w="120"/>
              <w:bottom w:type="dxa" w:w="120"/>
              <w:right w:type="dxa" w:w="120"/>
            </w:tcMar>
            <w:vAlign w:val="center"/>
          </w:tcPr>
          <w:p>
            <w:pPr>
              <w:jc w:val="center"/>
            </w:pPr>
            <w:r>
              <w:rPr>
                <w:rFonts w:ascii="Georgia" w:cs="Georgia" w:eastAsia="Georgia" w:hAnsi="Georgia"/>
                <w:b/>
                <w:bCs/>
                <w:color w:val="FFFFFF"/>
                <w:sz w:val="28"/>
                <w:szCs w:val="28"/>
              </w:rPr>
              <w:t xml:space="preserve">3</w:t>
            </w:r>
          </w:p>
        </w:tc>
        <w:tc>
          <w:tcPr>
            <w:tcW w:type="dxa" w:w="8880"/>
            <w:tcBorders>
              <w:top w:val="single" w:color="C0405A" w:sz="4"/>
              <w:left w:val="single" w:color="C0405A" w:sz="4"/>
              <w:bottom w:val="single" w:color="C0405A" w:sz="4"/>
              <w:right w:val="single" w:color="C0405A" w:sz="4"/>
            </w:tcBorders>
            <w:shd w:fill="FDF0F2" w:val="clear"/>
            <w:tcMar>
              <w:top w:type="dxa" w:w="120"/>
              <w:left w:type="dxa" w:w="200"/>
              <w:bottom w:type="dxa" w:w="120"/>
              <w:right w:type="dxa" w:w="160"/>
            </w:tcMar>
          </w:tcPr>
          <w:p>
            <w:pPr>
              <w:spacing w:after="60"/>
            </w:pPr>
            <w:r>
              <w:rPr>
                <w:rFonts w:ascii="Georgia" w:cs="Georgia" w:eastAsia="Georgia" w:hAnsi="Georgia"/>
                <w:b/>
                <w:bCs/>
                <w:color w:val="1A3C6E"/>
                <w:sz w:val="22"/>
                <w:szCs w:val="22"/>
              </w:rPr>
              <w:t xml:space="preserve">Mid-Week Is Peak Activity, Monday Is the Low Point</w:t>
            </w:r>
          </w:p>
          <w:p>
            <w:pPr>
              <w:spacing w:after="0"/>
            </w:pPr>
            <w:r>
              <w:rPr>
                <w:rFonts w:ascii="Georgia" w:cs="Georgia" w:eastAsia="Georgia" w:hAnsi="Georgia"/>
                <w:color w:val="1A1A1A"/>
                <w:sz w:val="20"/>
                <w:szCs w:val="20"/>
              </w:rPr>
              <w:t xml:space="preserve">Users are most active Tuesday–Thursday and least active on Monday. This day-of-week pattern is an opportunity for Bellabeat to send Monday motivational nudges, weekly challenges that launch on Monday, or gamified streak rewards to help users start the week strong.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0405A" w:sz="4"/>
              <w:left w:val="single" w:color="C0405A" w:sz="4"/>
              <w:bottom w:val="single" w:color="C0405A" w:sz="4"/>
              <w:right w:val="single" w:color="C0405A" w:sz="4"/>
            </w:tcBorders>
            <w:shd w:fill="C0405A" w:val="clear"/>
            <w:tcMar>
              <w:top w:type="dxa" w:w="120"/>
              <w:left w:type="dxa" w:w="120"/>
              <w:bottom w:type="dxa" w:w="120"/>
              <w:right w:type="dxa" w:w="120"/>
            </w:tcMar>
            <w:vAlign w:val="center"/>
          </w:tcPr>
          <w:p>
            <w:pPr>
              <w:jc w:val="center"/>
            </w:pPr>
            <w:r>
              <w:rPr>
                <w:rFonts w:ascii="Georgia" w:cs="Georgia" w:eastAsia="Georgia" w:hAnsi="Georgia"/>
                <w:b/>
                <w:bCs/>
                <w:color w:val="FFFFFF"/>
                <w:sz w:val="28"/>
                <w:szCs w:val="28"/>
              </w:rPr>
              <w:t xml:space="preserve">4</w:t>
            </w:r>
          </w:p>
        </w:tc>
        <w:tc>
          <w:tcPr>
            <w:tcW w:type="dxa" w:w="8880"/>
            <w:tcBorders>
              <w:top w:val="single" w:color="C0405A" w:sz="4"/>
              <w:left w:val="single" w:color="C0405A" w:sz="4"/>
              <w:bottom w:val="single" w:color="C0405A" w:sz="4"/>
              <w:right w:val="single" w:color="C0405A" w:sz="4"/>
            </w:tcBorders>
            <w:shd w:fill="FDF0F2" w:val="clear"/>
            <w:tcMar>
              <w:top w:type="dxa" w:w="120"/>
              <w:left w:type="dxa" w:w="200"/>
              <w:bottom w:type="dxa" w:w="120"/>
              <w:right w:type="dxa" w:w="160"/>
            </w:tcMar>
          </w:tcPr>
          <w:p>
            <w:pPr>
              <w:spacing w:after="60"/>
            </w:pPr>
            <w:r>
              <w:rPr>
                <w:rFonts w:ascii="Georgia" w:cs="Georgia" w:eastAsia="Georgia" w:hAnsi="Georgia"/>
                <w:b/>
                <w:bCs/>
                <w:color w:val="1A3C6E"/>
                <w:sz w:val="22"/>
                <w:szCs w:val="22"/>
              </w:rPr>
              <w:t xml:space="preserve">Sleep Tracking Is Underused — 9 Users Don't Track Sleep At All</w:t>
            </w:r>
          </w:p>
          <w:p>
            <w:pPr>
              <w:spacing w:after="0"/>
            </w:pPr>
            <w:r>
              <w:rPr>
                <w:rFonts w:ascii="Georgia" w:cs="Georgia" w:eastAsia="Georgia" w:hAnsi="Georgia"/>
                <w:color w:val="1A1A1A"/>
                <w:sz w:val="20"/>
                <w:szCs w:val="20"/>
              </w:rPr>
              <w:t xml:space="preserve">Only 24 of 33 users tracked sleep. Given the strong behavioral link between sedentary time and sleep quality, Bellabeat can promote sleep tracking as a core feature — not a bonus — with in-app education about why tracking sleep leads to better daily decisions.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0405A" w:sz="4"/>
              <w:left w:val="single" w:color="C0405A" w:sz="4"/>
              <w:bottom w:val="single" w:color="C0405A" w:sz="4"/>
              <w:right w:val="single" w:color="C0405A" w:sz="4"/>
            </w:tcBorders>
            <w:shd w:fill="C0405A" w:val="clear"/>
            <w:tcMar>
              <w:top w:type="dxa" w:w="120"/>
              <w:left w:type="dxa" w:w="120"/>
              <w:bottom w:type="dxa" w:w="120"/>
              <w:right w:type="dxa" w:w="120"/>
            </w:tcMar>
            <w:vAlign w:val="center"/>
          </w:tcPr>
          <w:p>
            <w:pPr>
              <w:jc w:val="center"/>
            </w:pPr>
            <w:r>
              <w:rPr>
                <w:rFonts w:ascii="Georgia" w:cs="Georgia" w:eastAsia="Georgia" w:hAnsi="Georgia"/>
                <w:b/>
                <w:bCs/>
                <w:color w:val="FFFFFF"/>
                <w:sz w:val="28"/>
                <w:szCs w:val="28"/>
              </w:rPr>
              <w:t xml:space="preserve">5</w:t>
            </w:r>
          </w:p>
        </w:tc>
        <w:tc>
          <w:tcPr>
            <w:tcW w:type="dxa" w:w="8880"/>
            <w:tcBorders>
              <w:top w:val="single" w:color="C0405A" w:sz="4"/>
              <w:left w:val="single" w:color="C0405A" w:sz="4"/>
              <w:bottom w:val="single" w:color="C0405A" w:sz="4"/>
              <w:right w:val="single" w:color="C0405A" w:sz="4"/>
            </w:tcBorders>
            <w:shd w:fill="FDF0F2" w:val="clear"/>
            <w:tcMar>
              <w:top w:type="dxa" w:w="120"/>
              <w:left w:type="dxa" w:w="200"/>
              <w:bottom w:type="dxa" w:w="120"/>
              <w:right w:type="dxa" w:w="160"/>
            </w:tcMar>
          </w:tcPr>
          <w:p>
            <w:pPr>
              <w:spacing w:after="60"/>
            </w:pPr>
            <w:r>
              <w:rPr>
                <w:rFonts w:ascii="Georgia" w:cs="Georgia" w:eastAsia="Georgia" w:hAnsi="Georgia"/>
                <w:b/>
                <w:bCs/>
                <w:color w:val="1A3C6E"/>
                <w:sz w:val="22"/>
                <w:szCs w:val="22"/>
              </w:rPr>
              <w:t xml:space="preserve">Weight Logging Has the Lowest Adoption (8 of 33 Users)</w:t>
            </w:r>
          </w:p>
          <w:p>
            <w:pPr>
              <w:spacing w:after="0"/>
            </w:pPr>
            <w:r>
              <w:rPr>
                <w:rFonts w:ascii="Georgia" w:cs="Georgia" w:eastAsia="Georgia" w:hAnsi="Georgia"/>
                <w:color w:val="1A1A1A"/>
                <w:sz w:val="20"/>
                <w:szCs w:val="20"/>
              </w:rPr>
              <w:t xml:space="preserve">The low adoption of weight tracking, combined with predominantly manual logging, suggests users don't trust or value the current weight-tracking experience. Bellabeat can differentiate by making weight and body composition tracking feel empowering rather than punitive — framing it around wellness milestones, not numbers on a scale.</w:t>
            </w:r>
          </w:p>
        </w:tc>
      </w:tr>
    </w:tbl>
    <w:p>
      <w:pPr>
        <w:spacing w:after="60"/>
      </w:pPr>
      <w:r>
        <w:t xml:space="preserve"/>
      </w:r>
    </w:p>
    <w:p>
      <w:pPr>
        <w:spacing w:after="60"/>
      </w:pPr>
      <w:r>
        <w:t xml:space="preserve"/>
      </w:r>
    </w:p>
    <w:p>
      <w:pPr>
        <w:pBdr>
          <w:top w:val="single" w:color="DDDDDD" w:sz="2" w:space="1"/>
        </w:pBdr>
        <w:spacing w:after="80" w:before="200"/>
        <w:jc w:val="center"/>
      </w:pPr>
      <w:r>
        <w:rPr>
          <w:rFonts w:ascii="Georgia" w:cs="Georgia" w:eastAsia="Georgia" w:hAnsi="Georgia"/>
          <w:i/>
          <w:iCs/>
          <w:color w:val="595959"/>
          <w:sz w:val="20"/>
          <w:szCs w:val="20"/>
        </w:rPr>
        <w:t xml:space="preserve">End of Report — Phases 1 to 4</w:t>
      </w:r>
    </w:p>
    <w:p>
      <w:pPr>
        <w:spacing w:after="0"/>
        <w:jc w:val="center"/>
      </w:pPr>
      <w:r>
        <w:rPr>
          <w:rFonts w:ascii="Georgia" w:cs="Georgia" w:eastAsia="Georgia" w:hAnsi="Georgia"/>
          <w:color w:val="595959"/>
          <w:sz w:val="20"/>
          <w:szCs w:val="20"/>
        </w:rPr>
        <w:t xml:space="preserve">Google Data Analytics Professional Certificate · Bellabeat Capstone Project</w:t>
      </w:r>
    </w:p>
    <w:sectPr>
      <w:pgSz w:w="12240" w:h="15840" w:orient="portrait"/>
      <w:pgMar w:top="1260" w:right="108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Georgia" w:cs="Georgia" w:eastAsia="Georgia" w:hAnsi="Georgia"/>
        <w:b/>
        <w:bCs/>
        <w:color w:val="2563A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Georgia" w:cs="Georgia" w:eastAsia="Georgia" w:hAnsi="Georgia"/>
      <w:b/>
      <w:bCs/>
      <w:color w:val="1A3C6E"/>
      <w:sz w:val="28"/>
      <w:szCs w:val="28"/>
    </w:rPr>
  </w:style>
  <w:style w:type="paragraph" w:styleId="Heading2">
    <w:name w:val="Heading 2"/>
    <w:basedOn w:val="Normal"/>
    <w:next w:val="Normal"/>
    <w:qFormat/>
    <w:pPr>
      <w:spacing w:after="120" w:before="280"/>
      <w:outlineLvl w:val="1"/>
    </w:pPr>
    <w:rPr>
      <w:rFonts w:ascii="Georgia" w:cs="Georgia" w:eastAsia="Georgia" w:hAnsi="Georgia"/>
      <w:b/>
      <w:bCs/>
      <w:color w:val="2563A8"/>
      <w:sz w:val="24"/>
      <w:szCs w:val="24"/>
    </w:rPr>
  </w:style>
  <w:style w:type="paragraph" w:styleId="Heading3">
    <w:name w:val="Heading 3"/>
    <w:basedOn w:val="Normal"/>
    <w:next w:val="Normal"/>
    <w:qFormat/>
    <w:pPr>
      <w:spacing w:after="80" w:before="180"/>
      <w:outlineLvl w:val="2"/>
    </w:pPr>
    <w:rPr>
      <w:rFonts w:ascii="Georgia" w:cs="Georgia" w:eastAsia="Georgia" w:hAnsi="Georgia"/>
      <w:b/>
      <w:bCs/>
      <w:color w:val="1A6B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2026-05-25T07:05:55.085Z</dcterms:created>
  <dcterms:modified xsi:type="dcterms:W3CDTF">2026-05-25T07:05:55.097Z</dcterms:modified>
</cp:coreProperties>
</file>

<file path=docProps/custom.xml><?xml version="1.0" encoding="utf-8"?>
<Properties xmlns="http://schemas.openxmlformats.org/officeDocument/2006/custom-properties" xmlns:vt="http://schemas.openxmlformats.org/officeDocument/2006/docPropsVTypes"/>
</file>