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Ligne 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Prenom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  <w:tr>
        <w:tc>
          <w:tcPr>
            <w:tcW w:type="dxa" w:w="2880"/>
          </w:tcPr>
          <w:p>
            <w:r>
              <w:t>Miessan</w:t>
            </w:r>
          </w:p>
        </w:tc>
        <w:tc>
          <w:tcPr>
            <w:tcW w:type="dxa" w:w="2880"/>
          </w:tcPr>
          <w:p>
            <w:r>
              <w:t>Emmanuel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