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94CB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D3AD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ECC5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6C2AEA">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BF0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56BA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94A3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6C2AEA">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35033">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35033">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35033">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5" w:name="_Toc484161416"/>
      <w:r>
        <w:lastRenderedPageBreak/>
        <w:t>SUUNNITTELU JA KÄYTTÖTAPAUKSET</w:t>
      </w:r>
      <w:bookmarkEnd w:id="2"/>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lastRenderedPageBreak/>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A954FC" w:rsidRDefault="00A954FC" w:rsidP="007D1B3E">
      <w:proofErr w:type="spellStart"/>
      <w:r>
        <w:t>Ethereum</w:t>
      </w:r>
      <w:proofErr w:type="spellEnd"/>
      <w:r>
        <w:t xml:space="preserve">-yhteisö on hieman hajautunut. Kehittäjä, joka haluaa tehdä </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Solidty</w:t>
      </w:r>
      <w:proofErr w:type="spellEnd"/>
      <w:r>
        <w:t>-kieli on helppo oppia, vaikka sen ominaisuuksissa on kehitettävää.</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w:t>
      </w:r>
      <w:r w:rsidR="00FD66E6">
        <w:t>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w:t>
      </w:r>
      <w:bookmarkStart w:id="31" w:name="_GoBack"/>
      <w:bookmarkEnd w:id="31"/>
      <w:r w:rsidR="003F2727">
        <w:t xml:space="preserve">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35033"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35033"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35033"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35033"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35033"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35033"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35033"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835033"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35033"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35033"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35033"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835033"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0"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835033" w:rsidP="002B57FA">
      <w:pPr>
        <w:pStyle w:val="ListParagraph"/>
        <w:numPr>
          <w:ilvl w:val="0"/>
          <w:numId w:val="11"/>
        </w:numPr>
        <w:spacing w:after="0" w:line="240" w:lineRule="auto"/>
        <w:rPr>
          <w:lang w:val="en-GB"/>
        </w:rPr>
      </w:pPr>
      <w:hyperlink r:id="rId31"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835033" w:rsidP="006D6864">
      <w:pPr>
        <w:pStyle w:val="ListParagraph"/>
        <w:numPr>
          <w:ilvl w:val="0"/>
          <w:numId w:val="11"/>
        </w:numPr>
        <w:spacing w:after="0" w:line="240" w:lineRule="auto"/>
        <w:rPr>
          <w:lang w:val="en-GB"/>
        </w:rPr>
      </w:pPr>
      <w:hyperlink r:id="rId32"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Pr="00D667C7" w:rsidRDefault="0017563D" w:rsidP="0017563D">
      <w:pPr>
        <w:pStyle w:val="ListParagraph"/>
        <w:numPr>
          <w:ilvl w:val="0"/>
          <w:numId w:val="11"/>
        </w:numPr>
        <w:spacing w:after="0" w:line="240" w:lineRule="auto"/>
        <w:rPr>
          <w:lang w:val="en-GB"/>
        </w:rPr>
      </w:pPr>
      <w:hyperlink r:id="rId33" w:history="1">
        <w:r w:rsidRPr="003A16DE">
          <w:rPr>
            <w:rStyle w:val="Hyperlink"/>
            <w:lang w:val="en-GB"/>
          </w:rPr>
          <w:t>https://www.youtube.com/watch?v=40ikEV6xGg4</w:t>
        </w:r>
      </w:hyperlink>
      <w:r>
        <w:rPr>
          <w:lang w:val="en-GB"/>
        </w:rPr>
        <w:t xml:space="preserve"> Block chain demystified</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033" w:rsidRDefault="00835033" w:rsidP="007D1B3E">
      <w:r>
        <w:separator/>
      </w:r>
    </w:p>
  </w:endnote>
  <w:endnote w:type="continuationSeparator" w:id="0">
    <w:p w:rsidR="00835033" w:rsidRDefault="0083503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033" w:rsidRDefault="00835033" w:rsidP="007D1B3E">
      <w:r>
        <w:separator/>
      </w:r>
    </w:p>
  </w:footnote>
  <w:footnote w:type="continuationSeparator" w:id="0">
    <w:p w:rsidR="00835033" w:rsidRDefault="0083503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066EF"/>
    <w:rsid w:val="008106EE"/>
    <w:rsid w:val="0081439F"/>
    <w:rsid w:val="00816E96"/>
    <w:rsid w:val="00830D4B"/>
    <w:rsid w:val="008347C7"/>
    <w:rsid w:val="00835033"/>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532C"/>
    <w:rsid w:val="00980B90"/>
    <w:rsid w:val="00981EF3"/>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54FC"/>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E2E57"/>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hyperlink" Target="https://www.youtube.com/watch?v=40ikEV6xGg4"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https://youtu.be/Fjhe0MVRHO4?t=1m54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36"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24057-98E7-46AB-8E57-8A56518D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2939</TotalTime>
  <Pages>30</Pages>
  <Words>6052</Words>
  <Characters>34499</Characters>
  <Application>Microsoft Office Word</Application>
  <DocSecurity>0</DocSecurity>
  <Lines>287</Lines>
  <Paragraphs>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40471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300</cp:revision>
  <cp:lastPrinted>2011-09-20T09:38:00Z</cp:lastPrinted>
  <dcterms:created xsi:type="dcterms:W3CDTF">2014-02-11T07:26:00Z</dcterms:created>
  <dcterms:modified xsi:type="dcterms:W3CDTF">2017-07-01T09:26:00Z</dcterms:modified>
</cp:coreProperties>
</file>