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Miguel Garcia </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Create a report in Microsoft Word and answer the following questions.</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Given the provided data, what are three conclusions we can draw about crowdfunding campaigns?</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What are some limitations of this dataset?</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What are some other possible tables and/or graphs that we could create, and what additional value would they provide?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Three conclusions that we can draw in regards to the crowdfunding campaigns is that the most successful campaigns were the ones with Theater in them. We can see that the most popular subcategory was photography books and that we found the most success in the month of July.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Some limitations of these campaigns are that we don't know how much time and effort were dedicated to these campaigns and if they were affected by this.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Some additional tables that we can add is the percentage comparing failed, successful, live, and canceled campaigns to the overall campaigns. Seeing the percentage of successful campaigns to failed campaigns would help give a true assessment of the campaigns.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