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left"/>
      </w:pPr>
      <w:r>
        <w:rPr>
          <w:rFonts w:ascii="Calibri" w:cs="Calibri" w:eastAsia="Calibri" w:hAnsi="Calibri"/>
          <w:b/>
          <w:bCs/>
          <w:color w:val="0A2A5E"/>
          <w:sz w:val="44"/>
          <w:szCs w:val="44"/>
        </w:rPr>
        <w:t xml:space="preserve">GOLDMAN SACHS</w:t>
      </w:r>
    </w:p>
    <w:p>
      <w:pPr>
        <w:spacing w:after="720"/>
        <w:jc w:val="left"/>
      </w:pPr>
      <w:r>
        <w:rPr>
          <w:rFonts w:ascii="Calibri" w:cs="Calibri" w:eastAsia="Calibri" w:hAnsi="Calibri"/>
          <w:b/>
          <w:bCs/>
          <w:color w:val="B18C3D"/>
          <w:sz w:val="20"/>
          <w:szCs w:val="20"/>
        </w:rPr>
        <w:t xml:space="preserve">GLOBAL INVESTMENT RESEARCH  |  TECHNOLOGY — ARTIFICIAL INTELLIGENCE</w:t>
      </w:r>
    </w:p>
    <w:p>
      <w:pPr>
        <w:pBdr>
          <w:bottom w:val="single" w:color="0A2A5E" w:sz="16" w:space="4"/>
        </w:pBdr>
        <w:spacing w:after="120"/>
      </w:pPr>
      <w:r>
        <w:rPr>
          <w:sz w:val="4"/>
          <w:szCs w:val="4"/>
        </w:rPr>
        <w:t xml:space="preserve"> </w:t>
      </w:r>
    </w:p>
    <w:p>
      <w:pPr>
        <w:spacing w:after="240" w:before="240"/>
      </w:pPr>
      <w:r>
        <w:rPr>
          <w:rFonts w:ascii="Calibri" w:cs="Calibri" w:eastAsia="Calibri" w:hAnsi="Calibri"/>
          <w:b/>
          <w:bCs/>
          <w:color w:val="0A2A5E"/>
          <w:sz w:val="56"/>
          <w:szCs w:val="56"/>
        </w:rPr>
        <w:t xml:space="preserve">The Open vs. Closed AI Divide</w:t>
      </w:r>
    </w:p>
    <w:p>
      <w:pPr>
        <w:spacing w:after="720"/>
      </w:pPr>
      <w:r>
        <w:rPr>
          <w:rFonts w:ascii="Calibri" w:cs="Calibri" w:eastAsia="Calibri" w:hAnsi="Calibri"/>
          <w:i/>
          <w:iCs/>
          <w:color w:val="4A4A4A"/>
          <w:sz w:val="28"/>
          <w:szCs w:val="28"/>
        </w:rPr>
        <w:t xml:space="preserve">Competitive Strategy, Supply Chain, and Investable Exposure Across the Frontier-Model Stack</w:t>
      </w:r>
    </w:p>
    <w:p>
      <w:pPr>
        <w:pBdr>
          <w:bottom w:val="single" w:color="B18C3D" w:sz="8" w:space="4"/>
        </w:pBdr>
        <w:spacing w:after="120"/>
      </w:pPr>
      <w:r>
        <w:rPr>
          <w:sz w:val="4"/>
          <w:szCs w:val="4"/>
        </w:rPr>
        <w:t xml:space="preserve"> </w:t>
      </w:r>
    </w:p>
    <w:p>
      <w:pPr>
        <w:spacing w:after="120" w:before="240"/>
      </w:pPr>
      <w:r>
        <w:rPr>
          <w:rFonts w:ascii="Calibri" w:cs="Calibri" w:eastAsia="Calibri" w:hAnsi="Calibri"/>
          <w:b/>
          <w:bCs/>
          <w:color w:val="0A2A5E"/>
          <w:sz w:val="20"/>
          <w:szCs w:val="20"/>
        </w:rPr>
        <w:t xml:space="preserve">THEMATIC RESEARCH  |  COVERAGE INITIATION UPDATE</w:t>
      </w:r>
    </w:p>
    <w:p>
      <w:pPr>
        <w:spacing w:after="720"/>
      </w:pPr>
      <w:r>
        <w:rPr>
          <w:rFonts w:ascii="Calibri" w:cs="Calibri" w:eastAsia="Calibri" w:hAnsi="Calibri"/>
          <w:color w:val="4A4A4A"/>
          <w:sz w:val="22"/>
          <w:szCs w:val="22"/>
        </w:rPr>
        <w:t xml:space="preserve">April 23, 2026</w:t>
      </w:r>
    </w:p>
    <w:p>
      <w:pPr>
        <w:spacing w:after="80" w:before="1200"/>
      </w:pPr>
      <w:r>
        <w:rPr>
          <w:rFonts w:ascii="Calibri" w:cs="Calibri" w:eastAsia="Calibri" w:hAnsi="Calibri"/>
          <w:i/>
          <w:iCs/>
          <w:color w:val="4A4A4A"/>
          <w:sz w:val="20"/>
          <w:szCs w:val="20"/>
        </w:rPr>
        <w:t xml:space="preserve">Prepared for:</w:t>
      </w:r>
    </w:p>
    <w:p>
      <w:pPr>
        <w:spacing w:after="240"/>
      </w:pPr>
      <w:r>
        <w:rPr>
          <w:rFonts w:ascii="Calibri" w:cs="Calibri" w:eastAsia="Calibri" w:hAnsi="Calibri"/>
          <w:b/>
          <w:bCs/>
          <w:color w:val="0A2A5E"/>
          <w:sz w:val="24"/>
          <w:szCs w:val="24"/>
        </w:rPr>
        <w:t xml:space="preserve">Managing Director — Technology Investment Banking</w:t>
      </w:r>
    </w:p>
    <w:p>
      <w:pPr>
        <w:spacing w:after="80" w:before="120"/>
      </w:pPr>
      <w:r>
        <w:rPr>
          <w:rFonts w:ascii="Calibri" w:cs="Calibri" w:eastAsia="Calibri" w:hAnsi="Calibri"/>
          <w:i/>
          <w:iCs/>
          <w:color w:val="4A4A4A"/>
          <w:sz w:val="20"/>
          <w:szCs w:val="20"/>
        </w:rPr>
        <w:t xml:space="preserve">Prepared by:</w:t>
      </w:r>
    </w:p>
    <w:p>
      <w:pPr>
        <w:spacing w:after="240"/>
      </w:pPr>
      <w:r>
        <w:rPr>
          <w:rFonts w:ascii="Calibri" w:cs="Calibri" w:eastAsia="Calibri" w:hAnsi="Calibri"/>
          <w:b/>
          <w:bCs/>
          <w:color w:val="0A2A5E"/>
          <w:sz w:val="24"/>
          <w:szCs w:val="24"/>
        </w:rPr>
        <w:t xml:space="preserve">Senior Equity Analyst — AI &amp; Frontier Platforms Coverage</w:t>
      </w:r>
    </w:p>
    <w:p>
      <w:r>
        <w:br w:type="page"/>
      </w:r>
    </w:p>
    <w:p>
      <w:pPr>
        <w:sectPr>
          <w:pgSz w:w="12240" w:h="15840" w:orient="portrait"/>
          <w:pgMar w:top="1440" w:right="1440" w:bottom="1440" w:left="1440" w:header="708" w:footer="708" w:gutter="0"/>
          <w:pgNumType/>
          <w:docGrid w:linePitch="360"/>
        </w:sectPr>
      </w:pPr>
    </w:p>
    <w:p>
      <w:pPr>
        <w:pStyle w:val="Heading1"/>
        <w:spacing w:after="180" w:before="360"/>
      </w:pPr>
      <w:r>
        <w:rPr>
          <w:rFonts w:ascii="Calibri" w:cs="Calibri" w:eastAsia="Calibri" w:hAnsi="Calibri"/>
          <w:b/>
          <w:bCs/>
          <w:color w:val="0A2A5E"/>
          <w:sz w:val="32"/>
          <w:szCs w:val="32"/>
        </w:rPr>
        <w:t xml:space="preserve">1. Executive Summary</w:t>
      </w:r>
    </w:p>
    <w:p>
      <w:pPr>
        <w:spacing w:after="60" w:before="60" w:line="300"/>
        <w:jc w:val="both"/>
      </w:pPr>
      <w:r>
        <w:rPr>
          <w:rFonts w:ascii="Calibri" w:cs="Calibri" w:eastAsia="Calibri" w:hAnsi="Calibri"/>
          <w:b w:val="false"/>
          <w:bCs w:val="false"/>
          <w:i w:val="false"/>
          <w:iCs w:val="false"/>
          <w:color w:val="000000"/>
          <w:sz w:val="22"/>
          <w:szCs w:val="22"/>
        </w:rPr>
        <w:t xml:space="preserve">The AI industry has bifurcated into two strategically distinct camps — Closed-Weight (proprietary frontier) developers and Open-Weight (publishable-weights) developers. This divide is the single most important structural feature of the AI stack today. It dictates monetization models, capex intensity, customer acquisition costs, geopolitical exposure, and ultimately the investable universe available to public-market allocators.</w:t>
      </w:r>
    </w:p>
    <w:p>
      <w:pPr>
        <w:spacing w:after="60" w:before="60" w:line="300"/>
        <w:jc w:val="both"/>
      </w:pPr>
      <w:r>
        <w:rPr>
          <w:rFonts w:ascii="Calibri" w:cs="Calibri" w:eastAsia="Calibri" w:hAnsi="Calibri"/>
          <w:b w:val="false"/>
          <w:bCs w:val="false"/>
          <w:i w:val="false"/>
          <w:iCs w:val="false"/>
          <w:color w:val="000000"/>
          <w:sz w:val="22"/>
          <w:szCs w:val="22"/>
        </w:rPr>
        <w:t xml:space="preserve">Our central thesis is that the two camps are not substitutes — they are complements that will coexist, with closed-weight labs (OpenAI, Anthropic, Google DeepMind) capturing the majority of high-value enterprise and agentic-workload revenue pools, while open-weight families (Meta Llama, Mistral, DeepSeek, Alibaba Qwen, Zhipu GLM) commoditize the base-intelligence layer and push inference pricing toward marginal cost. The capability gap between the two camps has narrowed to single-digit percentage points on most benchmarks, but a durable gap persists in frontier reasoning, safety tuning, agentic reliability, and enterprise tooling — which is precisely where the rents live.</w:t>
      </w:r>
    </w:p>
    <w:p>
      <w:pPr>
        <w:spacing w:after="60" w:before="60" w:line="300"/>
        <w:jc w:val="both"/>
      </w:pPr>
      <w:r>
        <w:rPr>
          <w:rFonts w:ascii="Calibri" w:cs="Calibri" w:eastAsia="Calibri" w:hAnsi="Calibri"/>
          <w:b w:val="false"/>
          <w:bCs w:val="false"/>
          <w:i w:val="false"/>
          <w:iCs w:val="false"/>
          <w:color w:val="000000"/>
          <w:sz w:val="22"/>
          <w:szCs w:val="22"/>
        </w:rPr>
        <w:t xml:space="preserve">Key takeaways for the MD:</w:t>
      </w:r>
    </w:p>
    <w:p>
      <w:pPr>
        <w:pStyle w:val="ListParagraph"/>
        <w:numPr>
          <w:ilvl w:val="0"/>
          <w:numId w:val="2"/>
        </w:numPr>
        <w:spacing w:after="40" w:before="40" w:line="280"/>
      </w:pPr>
      <w:r>
        <w:rPr>
          <w:rFonts w:ascii="Calibri" w:cs="Calibri" w:eastAsia="Calibri" w:hAnsi="Calibri"/>
          <w:b/>
          <w:bCs/>
          <w:i w:val="false"/>
          <w:iCs w:val="false"/>
          <w:sz w:val="22"/>
          <w:szCs w:val="22"/>
        </w:rPr>
        <w:t xml:space="preserve">Capital concentration is unprecedented: </w:t>
      </w:r>
      <w:r>
        <w:rPr>
          <w:rFonts w:ascii="Calibri" w:cs="Calibri" w:eastAsia="Calibri" w:hAnsi="Calibri"/>
          <w:b w:val="false"/>
          <w:bCs w:val="false"/>
          <w:i w:val="false"/>
          <w:iCs w:val="false"/>
          <w:sz w:val="22"/>
          <w:szCs w:val="22"/>
        </w:rPr>
        <w:t xml:space="preserve">Q1 2026 saw four deals — OpenAI, Anthropic, xAI, Waymo — absorb approximately 65% of global venture funding ($188B of $290B). AI's share of total VC jumped from ~55% to ~81% QoQ.</w:t>
      </w:r>
    </w:p>
    <w:p>
      <w:pPr>
        <w:pStyle w:val="ListParagraph"/>
        <w:numPr>
          <w:ilvl w:val="0"/>
          <w:numId w:val="2"/>
        </w:numPr>
        <w:spacing w:after="40" w:before="40" w:line="280"/>
      </w:pPr>
      <w:r>
        <w:rPr>
          <w:rFonts w:ascii="Calibri" w:cs="Calibri" w:eastAsia="Calibri" w:hAnsi="Calibri"/>
          <w:b/>
          <w:bCs/>
          <w:i w:val="false"/>
          <w:iCs w:val="false"/>
          <w:sz w:val="22"/>
          <w:szCs w:val="22"/>
        </w:rPr>
        <w:t xml:space="preserve">Private valuations have dislocated: </w:t>
      </w:r>
      <w:r>
        <w:rPr>
          <w:rFonts w:ascii="Calibri" w:cs="Calibri" w:eastAsia="Calibri" w:hAnsi="Calibri"/>
          <w:b w:val="false"/>
          <w:bCs w:val="false"/>
          <w:i w:val="false"/>
          <w:iCs w:val="false"/>
          <w:sz w:val="22"/>
          <w:szCs w:val="22"/>
        </w:rPr>
        <w:t xml:space="preserve">OpenAI closed its latest round at $852B post-money (February 2026); Anthropic at $380B with secondary market marks reportedly reaching $1T. VC bids for Anthropic at $800B+ are currently being declined.</w:t>
      </w:r>
    </w:p>
    <w:p>
      <w:pPr>
        <w:pStyle w:val="ListParagraph"/>
        <w:numPr>
          <w:ilvl w:val="0"/>
          <w:numId w:val="2"/>
        </w:numPr>
        <w:spacing w:after="40" w:before="40" w:line="280"/>
      </w:pPr>
      <w:r>
        <w:rPr>
          <w:rFonts w:ascii="Calibri" w:cs="Calibri" w:eastAsia="Calibri" w:hAnsi="Calibri"/>
          <w:b/>
          <w:bCs/>
          <w:i w:val="false"/>
          <w:iCs w:val="false"/>
          <w:sz w:val="22"/>
          <w:szCs w:val="22"/>
        </w:rPr>
        <w:t xml:space="preserve">Supply chain remains the binding constraint: </w:t>
      </w:r>
      <w:r>
        <w:rPr>
          <w:rFonts w:ascii="Calibri" w:cs="Calibri" w:eastAsia="Calibri" w:hAnsi="Calibri"/>
          <w:b w:val="false"/>
          <w:bCs w:val="false"/>
          <w:i w:val="false"/>
          <w:iCs w:val="false"/>
          <w:sz w:val="22"/>
          <w:szCs w:val="22"/>
        </w:rPr>
        <w:t xml:space="preserve">TSMC 2nm capacity is fully booked through 2028, CoWoS advanced packaging is sold out through mid-2026, and SK Hynix HBM is fully allocated for all of 2026. The AI buildout is compute-constrained, not demand-constrained.</w:t>
      </w:r>
    </w:p>
    <w:p>
      <w:pPr>
        <w:pStyle w:val="ListParagraph"/>
        <w:numPr>
          <w:ilvl w:val="0"/>
          <w:numId w:val="2"/>
        </w:numPr>
        <w:spacing w:after="40" w:before="40" w:line="280"/>
      </w:pPr>
      <w:r>
        <w:rPr>
          <w:rFonts w:ascii="Calibri" w:cs="Calibri" w:eastAsia="Calibri" w:hAnsi="Calibri"/>
          <w:b/>
          <w:bCs/>
          <w:i w:val="false"/>
          <w:iCs w:val="false"/>
          <w:sz w:val="22"/>
          <w:szCs w:val="22"/>
        </w:rPr>
        <w:t xml:space="preserve">Open-weight surge out of China is the most underappreciated strategic threat: </w:t>
      </w:r>
      <w:r>
        <w:rPr>
          <w:rFonts w:ascii="Calibri" w:cs="Calibri" w:eastAsia="Calibri" w:hAnsi="Calibri"/>
          <w:b w:val="false"/>
          <w:bCs w:val="false"/>
          <w:i w:val="false"/>
          <w:iCs w:val="false"/>
          <w:sz w:val="22"/>
          <w:szCs w:val="22"/>
        </w:rPr>
        <w:t xml:space="preserve">Zhipu GLM-5 and Alibaba Qwen 3.5 now top several open-weight benchmarks; DeepSeek V4 is expected to ship on Huawei Ascend 950PR chips at disruptive pricing (~$0.14–$0.30/M tokens).</w:t>
      </w:r>
    </w:p>
    <w:p>
      <w:pPr>
        <w:pStyle w:val="ListParagraph"/>
        <w:numPr>
          <w:ilvl w:val="0"/>
          <w:numId w:val="2"/>
        </w:numPr>
        <w:spacing w:after="40" w:before="40" w:line="280"/>
      </w:pPr>
      <w:r>
        <w:rPr>
          <w:rFonts w:ascii="Calibri" w:cs="Calibri" w:eastAsia="Calibri" w:hAnsi="Calibri"/>
          <w:b/>
          <w:bCs/>
          <w:i w:val="false"/>
          <w:iCs w:val="false"/>
          <w:sz w:val="22"/>
          <w:szCs w:val="22"/>
        </w:rPr>
        <w:t xml:space="preserve">Public-market exposure paths have widened materially: </w:t>
      </w:r>
      <w:r>
        <w:rPr>
          <w:rFonts w:ascii="Calibri" w:cs="Calibri" w:eastAsia="Calibri" w:hAnsi="Calibri"/>
          <w:b w:val="false"/>
          <w:bCs w:val="false"/>
          <w:i w:val="false"/>
          <w:iCs w:val="false"/>
          <w:sz w:val="22"/>
          <w:szCs w:val="22"/>
        </w:rPr>
        <w:t xml:space="preserve">The ARK Venture Fund (ARKVX), Destiny Tech100, AngelList USVC, and Robinhood Ventures Fund I have meaningfully democratized pre-IPO access to OpenAI, Anthropic, xAI, and SpaceX at accessible minimums.</w:t>
      </w:r>
    </w:p>
    <w:p>
      <w:pPr>
        <w:spacing w:after="60" w:before="60"/>
      </w:pPr>
      <w:r>
        <w:rPr>
          <w:sz w:val="20"/>
          <w:szCs w:val="20"/>
        </w:rPr>
        <w:t xml:space="preserve"/>
      </w:r>
    </w:p>
    <w:p>
      <w:pPr>
        <w:spacing w:after="60" w:before="60" w:line="300"/>
        <w:jc w:val="both"/>
      </w:pPr>
      <w:r>
        <w:rPr>
          <w:rFonts w:ascii="Calibri" w:cs="Calibri" w:eastAsia="Calibri" w:hAnsi="Calibri"/>
          <w:b w:val="false"/>
          <w:bCs w:val="false"/>
          <w:i w:val="false"/>
          <w:iCs w:val="false"/>
          <w:color w:val="000000"/>
          <w:sz w:val="22"/>
          <w:szCs w:val="22"/>
        </w:rPr>
        <w:t xml:space="preserve">We recommend the desk maintain overweight exposure to the compute, packaging, and HBM supply chain (NVDA, TSM, ASML, 000660.KS / SK Hynix, AVGO) regardless of which model camp ultimately captures more value. These are the picks-and-shovels names with structurally supply-constrained economics. On the model side, we favor Alphabet (GOOGL) for its vertical integration across TPUs, cloud, and Gemini, and Microsoft (MSFT) for its 27% equity stake plus 20% revenue-share in OpenAI.</w:t>
      </w:r>
    </w:p>
    <w:p>
      <w:r>
        <w:br w:type="page"/>
      </w:r>
    </w:p>
    <w:p>
      <w:pPr>
        <w:pStyle w:val="Heading1"/>
        <w:spacing w:after="180" w:before="360"/>
      </w:pPr>
      <w:r>
        <w:rPr>
          <w:rFonts w:ascii="Calibri" w:cs="Calibri" w:eastAsia="Calibri" w:hAnsi="Calibri"/>
          <w:b/>
          <w:bCs/>
          <w:color w:val="0A2A5E"/>
          <w:sz w:val="32"/>
          <w:szCs w:val="32"/>
        </w:rPr>
        <w:t xml:space="preserve">2. Open-Weight vs. Closed AI: The Core Distinction</w:t>
      </w:r>
    </w:p>
    <w:p>
      <w:pPr>
        <w:pStyle w:val="Heading2"/>
        <w:spacing w:after="120" w:before="240"/>
      </w:pPr>
      <w:r>
        <w:rPr>
          <w:rFonts w:ascii="Calibri" w:cs="Calibri" w:eastAsia="Calibri" w:hAnsi="Calibri"/>
          <w:b/>
          <w:bCs/>
          <w:color w:val="0A2A5E"/>
          <w:sz w:val="26"/>
          <w:szCs w:val="26"/>
        </w:rPr>
        <w:t xml:space="preserve">2.1 Definitions and Technical Framework</w:t>
      </w:r>
    </w:p>
    <w:p>
      <w:pPr>
        <w:spacing w:after="60" w:before="60" w:line="300"/>
        <w:jc w:val="both"/>
      </w:pPr>
      <w:r>
        <w:rPr>
          <w:rFonts w:ascii="Calibri" w:cs="Calibri" w:eastAsia="Calibri" w:hAnsi="Calibri"/>
          <w:b/>
          <w:bCs/>
          <w:i w:val="false"/>
          <w:iCs w:val="false"/>
          <w:color w:val="000000"/>
          <w:sz w:val="22"/>
          <w:szCs w:val="22"/>
        </w:rPr>
        <w:t xml:space="preserve">Closed-weight (proprietary) AI models </w:t>
      </w:r>
      <w:r>
        <w:rPr>
          <w:rFonts w:ascii="Calibri" w:cs="Calibri" w:eastAsia="Calibri" w:hAnsi="Calibri"/>
          <w:b w:val="false"/>
          <w:bCs w:val="false"/>
          <w:i w:val="false"/>
          <w:iCs w:val="false"/>
          <w:color w:val="000000"/>
          <w:sz w:val="22"/>
          <w:szCs w:val="22"/>
        </w:rPr>
        <w:t xml:space="preserve">are trained by private labs that retain exclusive control over the model's parameters (weights), training data, training code, and inference infrastructure. Access is gated through commercial APIs or productized applications. Examples: OpenAI's GPT-5.4, Anthropic's Claude Opus 4.6, Google DeepMind's Gemini 3.1 Pro, xAI's Grok 4.20.</w:t>
      </w:r>
    </w:p>
    <w:p>
      <w:pPr>
        <w:spacing w:after="60" w:before="60" w:line="300"/>
        <w:jc w:val="both"/>
      </w:pPr>
      <w:r>
        <w:rPr>
          <w:rFonts w:ascii="Calibri" w:cs="Calibri" w:eastAsia="Calibri" w:hAnsi="Calibri"/>
          <w:b/>
          <w:bCs/>
          <w:i w:val="false"/>
          <w:iCs w:val="false"/>
          <w:color w:val="000000"/>
          <w:sz w:val="22"/>
          <w:szCs w:val="22"/>
        </w:rPr>
        <w:t xml:space="preserve">Open-weight AI models </w:t>
      </w:r>
      <w:r>
        <w:rPr>
          <w:rFonts w:ascii="Calibri" w:cs="Calibri" w:eastAsia="Calibri" w:hAnsi="Calibri"/>
          <w:b w:val="false"/>
          <w:bCs w:val="false"/>
          <w:i w:val="false"/>
          <w:iCs w:val="false"/>
          <w:color w:val="000000"/>
          <w:sz w:val="22"/>
          <w:szCs w:val="22"/>
        </w:rPr>
        <w:t xml:space="preserve">are models whose trained parameters are publicly released for download, allowing any party to self-host, fine-tune, and redistribute. Important nuance: "open weight" is not the same as "open source" in the OSI sense. True open source requires training data, training code, AND weights to all be released — this bar is met by very few models (AI2's OLMo is one). Meta's Llama license, for example, restricts commercial use above 700M MAU and is technically "open weight / source-available," not open source.</w:t>
      </w:r>
    </w:p>
    <w:p>
      <w:pPr>
        <w:spacing w:after="60" w:before="60" w:line="300"/>
        <w:jc w:val="both"/>
      </w:pPr>
      <w:r>
        <w:rPr>
          <w:rFonts w:ascii="Calibri" w:cs="Calibri" w:eastAsia="Calibri" w:hAnsi="Calibri"/>
          <w:b/>
          <w:bCs/>
          <w:i w:val="false"/>
          <w:iCs w:val="false"/>
          <w:color w:val="000000"/>
          <w:sz w:val="22"/>
          <w:szCs w:val="22"/>
        </w:rPr>
        <w:t xml:space="preserve">The critical commercial distinction: </w:t>
      </w:r>
      <w:r>
        <w:rPr>
          <w:rFonts w:ascii="Calibri" w:cs="Calibri" w:eastAsia="Calibri" w:hAnsi="Calibri"/>
          <w:b w:val="false"/>
          <w:bCs w:val="false"/>
          <w:i w:val="false"/>
          <w:iCs w:val="false"/>
          <w:color w:val="000000"/>
          <w:sz w:val="22"/>
          <w:szCs w:val="22"/>
        </w:rPr>
        <w:t xml:space="preserve">open-weight models can be deployed on a customer's own infrastructure with no per-token API fees, making them structurally deflationary to inference pricing industry-wide. Closed-weight models retain pricing power through capability advantage, safety tuning, enterprise integration, and ecosystem lock-in.</w:t>
      </w:r>
    </w:p>
    <w:p>
      <w:pPr>
        <w:pStyle w:val="Heading2"/>
        <w:spacing w:after="120" w:before="240"/>
      </w:pPr>
      <w:r>
        <w:rPr>
          <w:rFonts w:ascii="Calibri" w:cs="Calibri" w:eastAsia="Calibri" w:hAnsi="Calibri"/>
          <w:b/>
          <w:bCs/>
          <w:color w:val="0A2A5E"/>
          <w:sz w:val="26"/>
          <w:szCs w:val="26"/>
        </w:rPr>
        <w:t xml:space="preserve">2.2 Architectural Convergence</w:t>
      </w:r>
    </w:p>
    <w:p>
      <w:pPr>
        <w:spacing w:after="60" w:before="60" w:line="300"/>
        <w:jc w:val="both"/>
      </w:pPr>
      <w:r>
        <w:rPr>
          <w:rFonts w:ascii="Calibri" w:cs="Calibri" w:eastAsia="Calibri" w:hAnsi="Calibri"/>
          <w:b w:val="false"/>
          <w:bCs w:val="false"/>
          <w:i w:val="false"/>
          <w:iCs w:val="false"/>
          <w:color w:val="000000"/>
          <w:sz w:val="22"/>
          <w:szCs w:val="22"/>
        </w:rPr>
        <w:t xml:space="preserve">Both camps have converged on similar architectural paradigms in 2026: sparse Mixture-of-Experts (MoE) as the dominant architecture, reasoning-mode models (chain-of-thought with scaled inference-time compute), multimodal-native design, and agentic tool-use as the frontier capability. The DeepSeek V3/R1 releases of late 2024 forced convergence by demonstrating frontier-level performance at a fraction of training cost. This architectural commoditization is precisely what has compressed the performance gap between camps.</w:t>
      </w:r>
    </w:p>
    <w:p>
      <w:r>
        <w:br w:type="page"/>
      </w:r>
    </w:p>
    <w:p>
      <w:pPr>
        <w:pStyle w:val="Heading1"/>
        <w:spacing w:after="180" w:before="360"/>
      </w:pPr>
      <w:r>
        <w:rPr>
          <w:rFonts w:ascii="Calibri" w:cs="Calibri" w:eastAsia="Calibri" w:hAnsi="Calibri"/>
          <w:b/>
          <w:bCs/>
          <w:color w:val="0A2A5E"/>
          <w:sz w:val="32"/>
          <w:szCs w:val="32"/>
        </w:rPr>
        <w:t xml:space="preserve">3. How Each Side Wins: Strategic Frameworks</w:t>
      </w:r>
    </w:p>
    <w:p>
      <w:pPr>
        <w:spacing w:after="60" w:before="60" w:line="300"/>
        <w:jc w:val="both"/>
      </w:pPr>
      <w:r>
        <w:rPr>
          <w:rFonts w:ascii="Calibri" w:cs="Calibri" w:eastAsia="Calibri" w:hAnsi="Calibri"/>
          <w:b w:val="false"/>
          <w:bCs w:val="false"/>
          <w:i w:val="false"/>
          <w:iCs w:val="false"/>
          <w:color w:val="000000"/>
          <w:sz w:val="22"/>
          <w:szCs w:val="22"/>
        </w:rPr>
        <w:t xml:space="preserve">The two camps are pursuing fundamentally different value-capture strategies. A common analyst mistake is to treat them as competing within the same game. They are not — they are playing adjacent games, and the "winner" determination depends on where along the stack one measures.</w:t>
      </w:r>
    </w:p>
    <w:p>
      <w:pPr>
        <w:pStyle w:val="Heading2"/>
        <w:spacing w:after="120" w:before="240"/>
      </w:pPr>
      <w:r>
        <w:rPr>
          <w:rFonts w:ascii="Calibri" w:cs="Calibri" w:eastAsia="Calibri" w:hAnsi="Calibri"/>
          <w:b/>
          <w:bCs/>
          <w:color w:val="0A2A5E"/>
          <w:sz w:val="26"/>
          <w:szCs w:val="26"/>
        </w:rPr>
        <w:t xml:space="preserve">3.1 The Two Victory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4"/>
              <w:left w:val="single" w:color="CCCCCC" w:sz="4"/>
              <w:bottom w:val="single" w:color="CCCCCC" w:sz="4"/>
              <w:right w:val="single" w:color="CCCCCC" w:sz="4"/>
            </w:tcBorders>
            <w:shd w:fill="0A2A5E"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Dimension</w:t>
            </w:r>
          </w:p>
        </w:tc>
        <w:tc>
          <w:tcPr>
            <w:tcW w:type="dxa" w:w="3510"/>
            <w:tcBorders>
              <w:top w:val="single" w:color="CCCCCC" w:sz="4"/>
              <w:left w:val="single" w:color="CCCCCC" w:sz="4"/>
              <w:bottom w:val="single" w:color="CCCCCC" w:sz="4"/>
              <w:right w:val="single" w:color="CCCCCC" w:sz="4"/>
            </w:tcBorders>
            <w:shd w:fill="0A2A5E"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Closed-Weight Victory Condition</w:t>
            </w:r>
          </w:p>
        </w:tc>
        <w:tc>
          <w:tcPr>
            <w:tcW w:type="dxa" w:w="3510"/>
            <w:tcBorders>
              <w:top w:val="single" w:color="CCCCCC" w:sz="4"/>
              <w:left w:val="single" w:color="CCCCCC" w:sz="4"/>
              <w:bottom w:val="single" w:color="CCCCCC" w:sz="4"/>
              <w:right w:val="single" w:color="CCCCCC" w:sz="4"/>
            </w:tcBorders>
            <w:shd w:fill="0A2A5E"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Open-Weight Victory Condition</w:t>
            </w:r>
          </w:p>
        </w:tc>
      </w:tr>
      <w:tr>
        <w:tc>
          <w:tcPr>
            <w:tcW w:type="dxa" w:w="2340"/>
            <w:tcBorders>
              <w:top w:val="single" w:color="CCCCCC" w:sz="4"/>
              <w:left w:val="single" w:color="CCCCCC" w:sz="4"/>
              <w:bottom w:val="single" w:color="CCCCCC" w:sz="4"/>
              <w:right w:val="single" w:color="CCCCCC" w:sz="4"/>
            </w:tcBorders>
            <w:shd w:fill="EEF1F6"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00000"/>
                <w:sz w:val="20"/>
                <w:szCs w:val="20"/>
              </w:rPr>
              <w:t xml:space="preserve">Primary KPI</w:t>
            </w:r>
          </w:p>
        </w:tc>
        <w:tc>
          <w:tcPr>
            <w:tcW w:type="dxa" w:w="351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Revenue per token, enterprise ARR, and agentic workload share</w:t>
            </w:r>
          </w:p>
        </w:tc>
        <w:tc>
          <w:tcPr>
            <w:tcW w:type="dxa" w:w="351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Download/deployment share, developer ecosystem depth, API cost-per-token below closed competitors</w:t>
            </w:r>
          </w:p>
        </w:tc>
      </w:tr>
      <w:tr>
        <w:tc>
          <w:tcPr>
            <w:tcW w:type="dxa" w:w="2340"/>
            <w:tcBorders>
              <w:top w:val="single" w:color="CCCCCC" w:sz="4"/>
              <w:left w:val="single" w:color="CCCCCC" w:sz="4"/>
              <w:bottom w:val="single" w:color="CCCCCC" w:sz="4"/>
              <w:right w:val="single" w:color="CCCCCC" w:sz="4"/>
            </w:tcBorders>
            <w:shd w:fill="EEF1F6"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00000"/>
                <w:sz w:val="20"/>
                <w:szCs w:val="20"/>
              </w:rPr>
              <w:t xml:space="preserve">Moat construction</w:t>
            </w:r>
          </w:p>
        </w:tc>
        <w:tc>
          <w:tcPr>
            <w:tcW w:type="dxa" w:w="351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Capability lead on frontier benchmarks; proprietary RLHF/safety data; enterprise distribution (MSFT/OpenAI, AWS/Anthropic)</w:t>
            </w:r>
          </w:p>
        </w:tc>
        <w:tc>
          <w:tcPr>
            <w:tcW w:type="dxa" w:w="351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Commoditize intelligence layer; force closed labs to compete on service not capability; capture developer mindshare</w:t>
            </w:r>
          </w:p>
        </w:tc>
      </w:tr>
      <w:tr>
        <w:tc>
          <w:tcPr>
            <w:tcW w:type="dxa" w:w="2340"/>
            <w:tcBorders>
              <w:top w:val="single" w:color="CCCCCC" w:sz="4"/>
              <w:left w:val="single" w:color="CCCCCC" w:sz="4"/>
              <w:bottom w:val="single" w:color="CCCCCC" w:sz="4"/>
              <w:right w:val="single" w:color="CCCCCC" w:sz="4"/>
            </w:tcBorders>
            <w:shd w:fill="EEF1F6"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00000"/>
                <w:sz w:val="20"/>
                <w:szCs w:val="20"/>
              </w:rPr>
              <w:t xml:space="preserve">Monetization</w:t>
            </w:r>
          </w:p>
        </w:tc>
        <w:tc>
          <w:tcPr>
            <w:tcW w:type="dxa" w:w="351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API pricing power + consumer subscription (ChatGPT Plus, Claude Pro) + enterprise seat licensing</w:t>
            </w:r>
          </w:p>
        </w:tc>
        <w:tc>
          <w:tcPr>
            <w:tcW w:type="dxa" w:w="351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Adjacent businesses: Meta monetizes via ad engagement; Alibaba via cloud; Mistral via inference service</w:t>
            </w:r>
          </w:p>
        </w:tc>
      </w:tr>
      <w:tr>
        <w:tc>
          <w:tcPr>
            <w:tcW w:type="dxa" w:w="2340"/>
            <w:tcBorders>
              <w:top w:val="single" w:color="CCCCCC" w:sz="4"/>
              <w:left w:val="single" w:color="CCCCCC" w:sz="4"/>
              <w:bottom w:val="single" w:color="CCCCCC" w:sz="4"/>
              <w:right w:val="single" w:color="CCCCCC" w:sz="4"/>
            </w:tcBorders>
            <w:shd w:fill="EEF1F6"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00000"/>
                <w:sz w:val="20"/>
                <w:szCs w:val="20"/>
              </w:rPr>
              <w:t xml:space="preserve">Cost structure</w:t>
            </w:r>
          </w:p>
        </w:tc>
        <w:tc>
          <w:tcPr>
            <w:tcW w:type="dxa" w:w="351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Training capex: $5B–$20B per frontier model generation; gross margins pressured by inference</w:t>
            </w:r>
          </w:p>
        </w:tc>
        <w:tc>
          <w:tcPr>
            <w:tcW w:type="dxa" w:w="351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Training cost shared across community; marginal distribution cost near zero; revenue capture downstream</w:t>
            </w:r>
          </w:p>
        </w:tc>
      </w:tr>
      <w:tr>
        <w:tc>
          <w:tcPr>
            <w:tcW w:type="dxa" w:w="2340"/>
            <w:tcBorders>
              <w:top w:val="single" w:color="CCCCCC" w:sz="4"/>
              <w:left w:val="single" w:color="CCCCCC" w:sz="4"/>
              <w:bottom w:val="single" w:color="CCCCCC" w:sz="4"/>
              <w:right w:val="single" w:color="CCCCCC" w:sz="4"/>
            </w:tcBorders>
            <w:shd w:fill="EEF1F6"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00000"/>
                <w:sz w:val="20"/>
                <w:szCs w:val="20"/>
              </w:rPr>
              <w:t xml:space="preserve">Geopolitical posture</w:t>
            </w:r>
          </w:p>
        </w:tc>
        <w:tc>
          <w:tcPr>
            <w:tcW w:type="dxa" w:w="351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Aligned with Western export-control regime; partner with NVDA / hyperscaler cloud</w:t>
            </w:r>
          </w:p>
        </w:tc>
        <w:tc>
          <w:tcPr>
            <w:tcW w:type="dxa" w:w="351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Chinese open-weight labs (DeepSeek, Qwen, Zhipu) use openness to bypass hardware restrictions and build global developer adoption</w:t>
            </w:r>
          </w:p>
        </w:tc>
      </w:tr>
      <w:tr>
        <w:tc>
          <w:tcPr>
            <w:tcW w:type="dxa" w:w="2340"/>
            <w:tcBorders>
              <w:top w:val="single" w:color="CCCCCC" w:sz="4"/>
              <w:left w:val="single" w:color="CCCCCC" w:sz="4"/>
              <w:bottom w:val="single" w:color="CCCCCC" w:sz="4"/>
              <w:right w:val="single" w:color="CCCCCC" w:sz="4"/>
            </w:tcBorders>
            <w:shd w:fill="EEF1F6"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00000"/>
                <w:sz w:val="20"/>
                <w:szCs w:val="20"/>
              </w:rPr>
              <w:t xml:space="preserve">End-game</w:t>
            </w:r>
          </w:p>
        </w:tc>
        <w:tc>
          <w:tcPr>
            <w:tcW w:type="dxa" w:w="351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Sustained frontier lead → AGI-adjacent product → platform dominance equivalent to Windows/iOS</w:t>
            </w:r>
          </w:p>
        </w:tc>
        <w:tc>
          <w:tcPr>
            <w:tcW w:type="dxa" w:w="351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Commoditize model layer → extract value at inference, data, and application layers</w:t>
            </w:r>
          </w:p>
        </w:tc>
      </w:tr>
    </w:tbl>
    <w:p>
      <w:pPr>
        <w:spacing w:after="60" w:before="60"/>
      </w:pPr>
      <w:r>
        <w:rPr>
          <w:sz w:val="20"/>
          <w:szCs w:val="20"/>
        </w:rPr>
        <w:t xml:space="preserve"/>
      </w:r>
    </w:p>
    <w:p>
      <w:pPr>
        <w:pStyle w:val="Heading2"/>
        <w:spacing w:after="120" w:before="240"/>
      </w:pPr>
      <w:r>
        <w:rPr>
          <w:rFonts w:ascii="Calibri" w:cs="Calibri" w:eastAsia="Calibri" w:hAnsi="Calibri"/>
          <w:b/>
          <w:bCs/>
          <w:color w:val="0A2A5E"/>
          <w:sz w:val="26"/>
          <w:szCs w:val="26"/>
        </w:rPr>
        <w:t xml:space="preserve">3.2 Closed-Weight Playbook: Capture the Capability Rent</w:t>
      </w:r>
    </w:p>
    <w:p>
      <w:pPr>
        <w:spacing w:after="60" w:before="60" w:line="300"/>
        <w:jc w:val="both"/>
      </w:pPr>
      <w:r>
        <w:rPr>
          <w:rFonts w:ascii="Calibri" w:cs="Calibri" w:eastAsia="Calibri" w:hAnsi="Calibri"/>
          <w:b w:val="false"/>
          <w:bCs w:val="false"/>
          <w:i w:val="false"/>
          <w:iCs w:val="false"/>
          <w:color w:val="000000"/>
          <w:sz w:val="22"/>
          <w:szCs w:val="22"/>
        </w:rPr>
        <w:t xml:space="preserve">Closed-weight labs operate on a simple thesis: the capability frontier is worth paying for. If a model can automate a $150,000 software engineer's output — as Anthropic's Claude Code increasingly does — then charging $200/month per seat captures only a fraction of the value created. The scale economics work because training costs are fixed while revenue scales linearly with enterprise seat count. OpenAI reached ~$25B in annualized revenue by April 2026 (up from $13.1B for full-year 2025), and Anthropic reportedly touched $30B annualized, up from $9B at end-2025. These are software-like growth rates at infrastructure-like scale.</w:t>
      </w:r>
    </w:p>
    <w:p>
      <w:pPr>
        <w:spacing w:after="60" w:before="60" w:line="300"/>
        <w:jc w:val="both"/>
      </w:pPr>
      <w:r>
        <w:rPr>
          <w:rFonts w:ascii="Calibri" w:cs="Calibri" w:eastAsia="Calibri" w:hAnsi="Calibri"/>
          <w:b w:val="false"/>
          <w:bCs w:val="false"/>
          <w:i w:val="false"/>
          <w:iCs w:val="false"/>
          <w:color w:val="000000"/>
          <w:sz w:val="22"/>
          <w:szCs w:val="22"/>
        </w:rPr>
        <w:t xml:space="preserve">The strategic risk is that capability convergence erodes pricing power faster than costs decline. Anthropic's viral adoption of Claude Code has driven an estimated $2 trillion in software-sector market cap destruction as investors recalibrate the TAM for horizontal SaaS. This is the AI labs' own customers they are disintermediating.</w:t>
      </w:r>
    </w:p>
    <w:p>
      <w:pPr>
        <w:pStyle w:val="Heading2"/>
        <w:spacing w:after="120" w:before="240"/>
      </w:pPr>
      <w:r>
        <w:rPr>
          <w:rFonts w:ascii="Calibri" w:cs="Calibri" w:eastAsia="Calibri" w:hAnsi="Calibri"/>
          <w:b/>
          <w:bCs/>
          <w:color w:val="0A2A5E"/>
          <w:sz w:val="26"/>
          <w:szCs w:val="26"/>
        </w:rPr>
        <w:t xml:space="preserve">3.3 Open-Weight Playbook: Commoditize Your Complements</w:t>
      </w:r>
    </w:p>
    <w:p>
      <w:pPr>
        <w:spacing w:after="60" w:before="60" w:line="300"/>
        <w:jc w:val="both"/>
      </w:pPr>
      <w:r>
        <w:rPr>
          <w:rFonts w:ascii="Calibri" w:cs="Calibri" w:eastAsia="Calibri" w:hAnsi="Calibri"/>
          <w:b w:val="false"/>
          <w:bCs w:val="false"/>
          <w:i w:val="false"/>
          <w:iCs w:val="false"/>
          <w:color w:val="000000"/>
          <w:sz w:val="22"/>
          <w:szCs w:val="22"/>
        </w:rPr>
        <w:t xml:space="preserve">Meta's Llama strategy is the canonical example of Joel Spolsky's "commoditize your complements" maxim. Meta's core business is advertising; its revenue is not derived from Llama licensing. By open-sourcing the frontier, Meta undermines OpenAI and Anthropic — which charge for model access — without cannibalizing its own revenue model. The same logic applies to Alibaba (Qwen drives Alibaba Cloud adoption), Mistral (open weights drive La Plateforme API usage), and the Chinese labs (open weights build global developer loyalty independent of export controls).</w:t>
      </w:r>
    </w:p>
    <w:p>
      <w:pPr>
        <w:spacing w:after="60" w:before="60" w:line="300"/>
        <w:jc w:val="both"/>
      </w:pPr>
      <w:r>
        <w:rPr>
          <w:rFonts w:ascii="Calibri" w:cs="Calibri" w:eastAsia="Calibri" w:hAnsi="Calibri"/>
          <w:b w:val="false"/>
          <w:bCs w:val="false"/>
          <w:i w:val="false"/>
          <w:iCs w:val="false"/>
          <w:color w:val="000000"/>
          <w:sz w:val="22"/>
          <w:szCs w:val="22"/>
        </w:rPr>
        <w:t xml:space="preserve">The strategic risk for open-weight developers is that they fund the capability buildout that others monetize. Meta has reportedly invested upwards of $65B in AI capex in 2026 with no direct model-licensing revenue. The bet is that AI capability becomes foundational to Meta's ad business and Reality Labs — an unproven proposition that has generated shareholder friction.</w:t>
      </w:r>
    </w:p>
    <w:p>
      <w:r>
        <w:br w:type="page"/>
      </w:r>
    </w:p>
    <w:p>
      <w:pPr>
        <w:pStyle w:val="Heading1"/>
        <w:spacing w:after="180" w:before="360"/>
      </w:pPr>
      <w:r>
        <w:rPr>
          <w:rFonts w:ascii="Calibri" w:cs="Calibri" w:eastAsia="Calibri" w:hAnsi="Calibri"/>
          <w:b/>
          <w:bCs/>
          <w:color w:val="0A2A5E"/>
          <w:sz w:val="32"/>
          <w:szCs w:val="32"/>
        </w:rPr>
        <w:t xml:space="preserve">4. Key Players on Both Sides</w:t>
      </w:r>
    </w:p>
    <w:p>
      <w:pPr>
        <w:pStyle w:val="Heading2"/>
        <w:spacing w:after="120" w:before="240"/>
      </w:pPr>
      <w:r>
        <w:rPr>
          <w:rFonts w:ascii="Calibri" w:cs="Calibri" w:eastAsia="Calibri" w:hAnsi="Calibri"/>
          <w:b/>
          <w:bCs/>
          <w:color w:val="0A2A5E"/>
          <w:sz w:val="26"/>
          <w:szCs w:val="26"/>
        </w:rPr>
        <w:t xml:space="preserve">4.1 Closed-Weight / Proprietary Frontier Labs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800"/>
        <w:gridCol w:w="2200"/>
        <w:gridCol w:w="2060"/>
      </w:tblGrid>
      <w:tr>
        <w:trPr>
          <w:tblHeader/>
        </w:trPr>
        <w:tc>
          <w:tcPr>
            <w:tcW w:type="dxa" w:w="1800"/>
            <w:tcBorders>
              <w:top w:val="single" w:color="CCCCCC" w:sz="4"/>
              <w:left w:val="single" w:color="CCCCCC" w:sz="4"/>
              <w:bottom w:val="single" w:color="CCCCCC" w:sz="4"/>
              <w:right w:val="single" w:color="CCCCCC" w:sz="4"/>
            </w:tcBorders>
            <w:shd w:fill="0A2A5E"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Lab</w:t>
            </w:r>
          </w:p>
        </w:tc>
        <w:tc>
          <w:tcPr>
            <w:tcW w:type="dxa" w:w="1500"/>
            <w:tcBorders>
              <w:top w:val="single" w:color="CCCCCC" w:sz="4"/>
              <w:left w:val="single" w:color="CCCCCC" w:sz="4"/>
              <w:bottom w:val="single" w:color="CCCCCC" w:sz="4"/>
              <w:right w:val="single" w:color="CCCCCC" w:sz="4"/>
            </w:tcBorders>
            <w:shd w:fill="0A2A5E"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Ownership</w:t>
            </w:r>
          </w:p>
        </w:tc>
        <w:tc>
          <w:tcPr>
            <w:tcW w:type="dxa" w:w="1800"/>
            <w:tcBorders>
              <w:top w:val="single" w:color="CCCCCC" w:sz="4"/>
              <w:left w:val="single" w:color="CCCCCC" w:sz="4"/>
              <w:bottom w:val="single" w:color="CCCCCC" w:sz="4"/>
              <w:right w:val="single" w:color="CCCCCC" w:sz="4"/>
            </w:tcBorders>
            <w:shd w:fill="0A2A5E"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Flagship Model</w:t>
            </w:r>
          </w:p>
        </w:tc>
        <w:tc>
          <w:tcPr>
            <w:tcW w:type="dxa" w:w="2200"/>
            <w:tcBorders>
              <w:top w:val="single" w:color="CCCCCC" w:sz="4"/>
              <w:left w:val="single" w:color="CCCCCC" w:sz="4"/>
              <w:bottom w:val="single" w:color="CCCCCC" w:sz="4"/>
              <w:right w:val="single" w:color="CCCCCC" w:sz="4"/>
            </w:tcBorders>
            <w:shd w:fill="0A2A5E"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Valuation / Cap</w:t>
            </w:r>
          </w:p>
        </w:tc>
        <w:tc>
          <w:tcPr>
            <w:tcW w:type="dxa" w:w="2060"/>
            <w:tcBorders>
              <w:top w:val="single" w:color="CCCCCC" w:sz="4"/>
              <w:left w:val="single" w:color="CCCCCC" w:sz="4"/>
              <w:bottom w:val="single" w:color="CCCCCC" w:sz="4"/>
              <w:right w:val="single" w:color="CCCCCC" w:sz="4"/>
            </w:tcBorders>
            <w:shd w:fill="0A2A5E"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Key Backers</w:t>
            </w:r>
          </w:p>
        </w:tc>
      </w:tr>
      <w:tr>
        <w:tc>
          <w:tcPr>
            <w:tcW w:type="dxa" w:w="1800"/>
            <w:tcBorders>
              <w:top w:val="single" w:color="CCCCCC" w:sz="4"/>
              <w:left w:val="single" w:color="CCCCCC" w:sz="4"/>
              <w:bottom w:val="single" w:color="CCCCCC" w:sz="4"/>
              <w:right w:val="single" w:color="CCCCCC" w:sz="4"/>
            </w:tcBorders>
            <w:shd w:fill="EEF1F6"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00000"/>
                <w:sz w:val="20"/>
                <w:szCs w:val="20"/>
              </w:rPr>
              <w:t xml:space="preserve">OpenAI</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Private</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GPT-5.4, Codex</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$852B post-money (Feb 2026)</w:t>
            </w:r>
          </w:p>
        </w:tc>
        <w:tc>
          <w:tcPr>
            <w:tcW w:type="dxa" w:w="2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Microsoft, SoftBank, NVDA, a16z</w:t>
            </w:r>
          </w:p>
        </w:tc>
      </w:tr>
      <w:tr>
        <w:tc>
          <w:tcPr>
            <w:tcW w:type="dxa" w:w="1800"/>
            <w:tcBorders>
              <w:top w:val="single" w:color="CCCCCC" w:sz="4"/>
              <w:left w:val="single" w:color="CCCCCC" w:sz="4"/>
              <w:bottom w:val="single" w:color="CCCCCC" w:sz="4"/>
              <w:right w:val="single" w:color="CCCCCC" w:sz="4"/>
            </w:tcBorders>
            <w:shd w:fill="EEF1F6"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00000"/>
                <w:sz w:val="20"/>
                <w:szCs w:val="20"/>
              </w:rPr>
              <w:t xml:space="preserve">Anthropic</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Private</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Claude Opus 4.6 / Mythos 5</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$380B (Feb); $1T on secondaries</w:t>
            </w:r>
          </w:p>
        </w:tc>
        <w:tc>
          <w:tcPr>
            <w:tcW w:type="dxa" w:w="2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Google, Amazon, NVDA, Microsoft</w:t>
            </w:r>
          </w:p>
        </w:tc>
      </w:tr>
      <w:tr>
        <w:tc>
          <w:tcPr>
            <w:tcW w:type="dxa" w:w="1800"/>
            <w:tcBorders>
              <w:top w:val="single" w:color="CCCCCC" w:sz="4"/>
              <w:left w:val="single" w:color="CCCCCC" w:sz="4"/>
              <w:bottom w:val="single" w:color="CCCCCC" w:sz="4"/>
              <w:right w:val="single" w:color="CCCCCC" w:sz="4"/>
            </w:tcBorders>
            <w:shd w:fill="EEF1F6"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00000"/>
                <w:sz w:val="20"/>
                <w:szCs w:val="20"/>
              </w:rPr>
              <w:t xml:space="preserve">Google DeepMind</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Alphabet sub.</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Gemini 3.1 Pro</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Implied $600B+ AI value</w:t>
            </w:r>
          </w:p>
        </w:tc>
        <w:tc>
          <w:tcPr>
            <w:tcW w:type="dxa" w:w="2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Alphabet (GOOGL) — public</w:t>
            </w:r>
          </w:p>
        </w:tc>
      </w:tr>
      <w:tr>
        <w:tc>
          <w:tcPr>
            <w:tcW w:type="dxa" w:w="1800"/>
            <w:tcBorders>
              <w:top w:val="single" w:color="CCCCCC" w:sz="4"/>
              <w:left w:val="single" w:color="CCCCCC" w:sz="4"/>
              <w:bottom w:val="single" w:color="CCCCCC" w:sz="4"/>
              <w:right w:val="single" w:color="CCCCCC" w:sz="4"/>
            </w:tcBorders>
            <w:shd w:fill="EEF1F6"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00000"/>
                <w:sz w:val="20"/>
                <w:szCs w:val="20"/>
              </w:rPr>
              <w:t xml:space="preserve">xAI</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SpaceX sub.</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Grok 4.20 Beta 2</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Part of $1.5–1.75T SpaceX IPO</w:t>
            </w:r>
          </w:p>
        </w:tc>
        <w:tc>
          <w:tcPr>
            <w:tcW w:type="dxa" w:w="2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Musk; SpaceX merger Feb 2026</w:t>
            </w:r>
          </w:p>
        </w:tc>
      </w:tr>
      <w:tr>
        <w:tc>
          <w:tcPr>
            <w:tcW w:type="dxa" w:w="1800"/>
            <w:tcBorders>
              <w:top w:val="single" w:color="CCCCCC" w:sz="4"/>
              <w:left w:val="single" w:color="CCCCCC" w:sz="4"/>
              <w:bottom w:val="single" w:color="CCCCCC" w:sz="4"/>
              <w:right w:val="single" w:color="CCCCCC" w:sz="4"/>
            </w:tcBorders>
            <w:shd w:fill="EEF1F6"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00000"/>
                <w:sz w:val="20"/>
                <w:szCs w:val="20"/>
              </w:rPr>
              <w:t xml:space="preserve">Microsoft AI</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MSFT sub.</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Phi-4, internal Copilot stack</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Public — MSFT mkt cap</w:t>
            </w:r>
          </w:p>
        </w:tc>
        <w:tc>
          <w:tcPr>
            <w:tcW w:type="dxa" w:w="2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Internal + OpenAI partnership</w:t>
            </w:r>
          </w:p>
        </w:tc>
      </w:tr>
      <w:tr>
        <w:tc>
          <w:tcPr>
            <w:tcW w:type="dxa" w:w="1800"/>
            <w:tcBorders>
              <w:top w:val="single" w:color="CCCCCC" w:sz="4"/>
              <w:left w:val="single" w:color="CCCCCC" w:sz="4"/>
              <w:bottom w:val="single" w:color="CCCCCC" w:sz="4"/>
              <w:right w:val="single" w:color="CCCCCC" w:sz="4"/>
            </w:tcBorders>
            <w:shd w:fill="EEF1F6"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00000"/>
                <w:sz w:val="20"/>
                <w:szCs w:val="20"/>
              </w:rPr>
              <w:t xml:space="preserve">Thinking Machines</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Private</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Tinker (fine-tuning platform)</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$12B (seed, Feb 2025)</w:t>
            </w:r>
          </w:p>
        </w:tc>
        <w:tc>
          <w:tcPr>
            <w:tcW w:type="dxa" w:w="2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NVDA, Google Cloud</w:t>
            </w:r>
          </w:p>
        </w:tc>
      </w:tr>
    </w:tbl>
    <w:p>
      <w:pPr>
        <w:spacing w:after="60" w:before="60"/>
      </w:pPr>
      <w:r>
        <w:rPr>
          <w:sz w:val="20"/>
          <w:szCs w:val="20"/>
        </w:rPr>
        <w:t xml:space="preserve"/>
      </w:r>
    </w:p>
    <w:p>
      <w:pPr>
        <w:spacing w:after="60" w:before="60" w:line="300"/>
        <w:jc w:val="both"/>
      </w:pPr>
      <w:r>
        <w:rPr>
          <w:rFonts w:ascii="Calibri" w:cs="Calibri" w:eastAsia="Calibri" w:hAnsi="Calibri"/>
          <w:b w:val="false"/>
          <w:bCs w:val="false"/>
          <w:i w:val="false"/>
          <w:iCs w:val="false"/>
          <w:color w:val="000000"/>
          <w:sz w:val="22"/>
          <w:szCs w:val="22"/>
        </w:rPr>
        <w:t xml:space="preserve">Observations on the closed-weight cohort:</w:t>
      </w:r>
    </w:p>
    <w:p>
      <w:pPr>
        <w:pStyle w:val="ListParagraph"/>
        <w:numPr>
          <w:ilvl w:val="0"/>
          <w:numId w:val="2"/>
        </w:numPr>
        <w:spacing w:after="40" w:before="40" w:line="280"/>
      </w:pPr>
      <w:r>
        <w:rPr>
          <w:rFonts w:ascii="Calibri" w:cs="Calibri" w:eastAsia="Calibri" w:hAnsi="Calibri"/>
          <w:b/>
          <w:bCs/>
          <w:i w:val="false"/>
          <w:iCs w:val="false"/>
          <w:sz w:val="22"/>
          <w:szCs w:val="22"/>
        </w:rPr>
        <w:t xml:space="preserve">Two-horse race at the frontier. </w:t>
      </w:r>
      <w:r>
        <w:rPr>
          <w:rFonts w:ascii="Calibri" w:cs="Calibri" w:eastAsia="Calibri" w:hAnsi="Calibri"/>
          <w:b w:val="false"/>
          <w:bCs w:val="false"/>
          <w:i w:val="false"/>
          <w:iCs w:val="false"/>
          <w:sz w:val="22"/>
          <w:szCs w:val="22"/>
        </w:rPr>
        <w:t xml:space="preserve">OpenAI and Anthropic are the only pure-play private frontier labs with independent enterprise traction. Google DeepMind and Microsoft AI are divisions of their public-market parents, with the associated advantages (balance sheet) and disadvantages (bureaucratic overhead, consumer-scale distribution baked in rather than earned).</w:t>
      </w:r>
    </w:p>
    <w:p>
      <w:pPr>
        <w:pStyle w:val="ListParagraph"/>
        <w:numPr>
          <w:ilvl w:val="0"/>
          <w:numId w:val="2"/>
        </w:numPr>
        <w:spacing w:after="40" w:before="40" w:line="280"/>
      </w:pPr>
      <w:r>
        <w:rPr>
          <w:rFonts w:ascii="Calibri" w:cs="Calibri" w:eastAsia="Calibri" w:hAnsi="Calibri"/>
          <w:b/>
          <w:bCs/>
          <w:i w:val="false"/>
          <w:iCs w:val="false"/>
          <w:sz w:val="22"/>
          <w:szCs w:val="22"/>
        </w:rPr>
        <w:t xml:space="preserve">Anthropic's enterprise mix is an outlier. </w:t>
      </w:r>
      <w:r>
        <w:rPr>
          <w:rFonts w:ascii="Calibri" w:cs="Calibri" w:eastAsia="Calibri" w:hAnsi="Calibri"/>
          <w:b w:val="false"/>
          <w:bCs w:val="false"/>
          <w:i w:val="false"/>
          <w:iCs w:val="false"/>
          <w:sz w:val="22"/>
          <w:szCs w:val="22"/>
        </w:rPr>
        <w:t xml:space="preserve">Approximately 80% of revenue comes from enterprise customers per CEO Dario Amodei, driven primarily by Claude Code. OpenAI, by contrast, retains a heavier consumer-revenue base (ChatGPT Plus, Pro) which carries different unit economics.</w:t>
      </w:r>
    </w:p>
    <w:p>
      <w:pPr>
        <w:pStyle w:val="ListParagraph"/>
        <w:numPr>
          <w:ilvl w:val="0"/>
          <w:numId w:val="2"/>
        </w:numPr>
        <w:spacing w:after="40" w:before="40" w:line="280"/>
      </w:pPr>
      <w:r>
        <w:rPr>
          <w:rFonts w:ascii="Calibri" w:cs="Calibri" w:eastAsia="Calibri" w:hAnsi="Calibri"/>
          <w:b/>
          <w:bCs/>
          <w:i w:val="false"/>
          <w:iCs w:val="false"/>
          <w:sz w:val="22"/>
          <w:szCs w:val="22"/>
        </w:rPr>
        <w:t xml:space="preserve">Anthropic Claude Mythos 5 is the first model </w:t>
      </w:r>
      <w:r>
        <w:rPr>
          <w:rFonts w:ascii="Calibri" w:cs="Calibri" w:eastAsia="Calibri" w:hAnsi="Calibri"/>
          <w:b w:val="false"/>
          <w:bCs w:val="false"/>
          <w:i w:val="false"/>
          <w:iCs w:val="false"/>
          <w:sz w:val="22"/>
          <w:szCs w:val="22"/>
        </w:rPr>
        <w:t xml:space="preserve">ever publicly acknowledged as "too capable to deploy" — Anthropic restricted deployment to ~50 organizations under Project Glasswing, citing cybersecurity misuse potential. This marks a material inflection in how the industry discusses capability governance.</w:t>
      </w:r>
    </w:p>
    <w:p>
      <w:pPr>
        <w:pStyle w:val="Heading2"/>
        <w:spacing w:after="120" w:before="240"/>
      </w:pPr>
      <w:r>
        <w:rPr>
          <w:rFonts w:ascii="Calibri" w:cs="Calibri" w:eastAsia="Calibri" w:hAnsi="Calibri"/>
          <w:b/>
          <w:bCs/>
          <w:color w:val="0A2A5E"/>
          <w:sz w:val="26"/>
          <w:szCs w:val="26"/>
        </w:rPr>
        <w:t xml:space="preserve">4.2 Open-Weight Developers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800"/>
        <w:gridCol w:w="2200"/>
        <w:gridCol w:w="2060"/>
      </w:tblGrid>
      <w:tr>
        <w:trPr>
          <w:tblHeader/>
        </w:trPr>
        <w:tc>
          <w:tcPr>
            <w:tcW w:type="dxa" w:w="1800"/>
            <w:tcBorders>
              <w:top w:val="single" w:color="CCCCCC" w:sz="4"/>
              <w:left w:val="single" w:color="CCCCCC" w:sz="4"/>
              <w:bottom w:val="single" w:color="CCCCCC" w:sz="4"/>
              <w:right w:val="single" w:color="CCCCCC" w:sz="4"/>
            </w:tcBorders>
            <w:shd w:fill="0A2A5E"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Developer</w:t>
            </w:r>
          </w:p>
        </w:tc>
        <w:tc>
          <w:tcPr>
            <w:tcW w:type="dxa" w:w="1500"/>
            <w:tcBorders>
              <w:top w:val="single" w:color="CCCCCC" w:sz="4"/>
              <w:left w:val="single" w:color="CCCCCC" w:sz="4"/>
              <w:bottom w:val="single" w:color="CCCCCC" w:sz="4"/>
              <w:right w:val="single" w:color="CCCCCC" w:sz="4"/>
            </w:tcBorders>
            <w:shd w:fill="0A2A5E"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Parent</w:t>
            </w:r>
          </w:p>
        </w:tc>
        <w:tc>
          <w:tcPr>
            <w:tcW w:type="dxa" w:w="1800"/>
            <w:tcBorders>
              <w:top w:val="single" w:color="CCCCCC" w:sz="4"/>
              <w:left w:val="single" w:color="CCCCCC" w:sz="4"/>
              <w:bottom w:val="single" w:color="CCCCCC" w:sz="4"/>
              <w:right w:val="single" w:color="CCCCCC" w:sz="4"/>
            </w:tcBorders>
            <w:shd w:fill="0A2A5E"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Flagship Model</w:t>
            </w:r>
          </w:p>
        </w:tc>
        <w:tc>
          <w:tcPr>
            <w:tcW w:type="dxa" w:w="2200"/>
            <w:tcBorders>
              <w:top w:val="single" w:color="CCCCCC" w:sz="4"/>
              <w:left w:val="single" w:color="CCCCCC" w:sz="4"/>
              <w:bottom w:val="single" w:color="CCCCCC" w:sz="4"/>
              <w:right w:val="single" w:color="CCCCCC" w:sz="4"/>
            </w:tcBorders>
            <w:shd w:fill="0A2A5E"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License</w:t>
            </w:r>
          </w:p>
        </w:tc>
        <w:tc>
          <w:tcPr>
            <w:tcW w:type="dxa" w:w="2060"/>
            <w:tcBorders>
              <w:top w:val="single" w:color="CCCCCC" w:sz="4"/>
              <w:left w:val="single" w:color="CCCCCC" w:sz="4"/>
              <w:bottom w:val="single" w:color="CCCCCC" w:sz="4"/>
              <w:right w:val="single" w:color="CCCCCC" w:sz="4"/>
            </w:tcBorders>
            <w:shd w:fill="0A2A5E"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Listing / Exposure</w:t>
            </w:r>
          </w:p>
        </w:tc>
      </w:tr>
      <w:tr>
        <w:tc>
          <w:tcPr>
            <w:tcW w:type="dxa" w:w="1800"/>
            <w:tcBorders>
              <w:top w:val="single" w:color="CCCCCC" w:sz="4"/>
              <w:left w:val="single" w:color="CCCCCC" w:sz="4"/>
              <w:bottom w:val="single" w:color="CCCCCC" w:sz="4"/>
              <w:right w:val="single" w:color="CCCCCC" w:sz="4"/>
            </w:tcBorders>
            <w:shd w:fill="EEF1F6"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00000"/>
                <w:sz w:val="20"/>
                <w:szCs w:val="20"/>
              </w:rPr>
              <w:t xml:space="preserve">Meta AI</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Meta (META)</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Llama 4 Scout / Maverick</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Meta Community License</w:t>
            </w:r>
          </w:p>
        </w:tc>
        <w:tc>
          <w:tcPr>
            <w:tcW w:type="dxa" w:w="2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NASDAQ: META</w:t>
            </w:r>
          </w:p>
        </w:tc>
      </w:tr>
      <w:tr>
        <w:tc>
          <w:tcPr>
            <w:tcW w:type="dxa" w:w="1800"/>
            <w:tcBorders>
              <w:top w:val="single" w:color="CCCCCC" w:sz="4"/>
              <w:left w:val="single" w:color="CCCCCC" w:sz="4"/>
              <w:bottom w:val="single" w:color="CCCCCC" w:sz="4"/>
              <w:right w:val="single" w:color="CCCCCC" w:sz="4"/>
            </w:tcBorders>
            <w:shd w:fill="EEF1F6"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00000"/>
                <w:sz w:val="20"/>
                <w:szCs w:val="20"/>
              </w:rPr>
              <w:t xml:space="preserve">Mistral AI</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Private (France)</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Mistral Small 4, Devstral 2</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Apache 2.0 (most SKUs)</w:t>
            </w:r>
          </w:p>
        </w:tc>
        <w:tc>
          <w:tcPr>
            <w:tcW w:type="dxa" w:w="2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Private — pre-IPO funds</w:t>
            </w:r>
          </w:p>
        </w:tc>
      </w:tr>
      <w:tr>
        <w:tc>
          <w:tcPr>
            <w:tcW w:type="dxa" w:w="1800"/>
            <w:tcBorders>
              <w:top w:val="single" w:color="CCCCCC" w:sz="4"/>
              <w:left w:val="single" w:color="CCCCCC" w:sz="4"/>
              <w:bottom w:val="single" w:color="CCCCCC" w:sz="4"/>
              <w:right w:val="single" w:color="CCCCCC" w:sz="4"/>
            </w:tcBorders>
            <w:shd w:fill="EEF1F6"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00000"/>
                <w:sz w:val="20"/>
                <w:szCs w:val="20"/>
              </w:rPr>
              <w:t xml:space="preserve">DeepSeek</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High-Flyer (CN)</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DeepSeek V3.2, R1, V4 (pending)</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MIT</w:t>
            </w:r>
          </w:p>
        </w:tc>
        <w:tc>
          <w:tcPr>
            <w:tcW w:type="dxa" w:w="2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Private — no retail access</w:t>
            </w:r>
          </w:p>
        </w:tc>
      </w:tr>
      <w:tr>
        <w:tc>
          <w:tcPr>
            <w:tcW w:type="dxa" w:w="1800"/>
            <w:tcBorders>
              <w:top w:val="single" w:color="CCCCCC" w:sz="4"/>
              <w:left w:val="single" w:color="CCCCCC" w:sz="4"/>
              <w:bottom w:val="single" w:color="CCCCCC" w:sz="4"/>
              <w:right w:val="single" w:color="CCCCCC" w:sz="4"/>
            </w:tcBorders>
            <w:shd w:fill="EEF1F6"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00000"/>
                <w:sz w:val="20"/>
                <w:szCs w:val="20"/>
              </w:rPr>
              <w:t xml:space="preserve">Alibaba (Qwen)</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Alibaba (BABA)</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Qwen 3.5 397B, Qwen3-Coder</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Apache 2.0</w:t>
            </w:r>
          </w:p>
        </w:tc>
        <w:tc>
          <w:tcPr>
            <w:tcW w:type="dxa" w:w="2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NYSE: BABA / HKG: 9988</w:t>
            </w:r>
          </w:p>
        </w:tc>
      </w:tr>
      <w:tr>
        <w:tc>
          <w:tcPr>
            <w:tcW w:type="dxa" w:w="1800"/>
            <w:tcBorders>
              <w:top w:val="single" w:color="CCCCCC" w:sz="4"/>
              <w:left w:val="single" w:color="CCCCCC" w:sz="4"/>
              <w:bottom w:val="single" w:color="CCCCCC" w:sz="4"/>
              <w:right w:val="single" w:color="CCCCCC" w:sz="4"/>
            </w:tcBorders>
            <w:shd w:fill="EEF1F6"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00000"/>
                <w:sz w:val="20"/>
                <w:szCs w:val="20"/>
              </w:rPr>
              <w:t xml:space="preserve">Zhipu AI</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Private (CN)</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GLM-5 / GLM-5.1</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Custom (commercial-friendly)</w:t>
            </w:r>
          </w:p>
        </w:tc>
        <w:tc>
          <w:tcPr>
            <w:tcW w:type="dxa" w:w="2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Private; rumored A-share listing</w:t>
            </w:r>
          </w:p>
        </w:tc>
      </w:tr>
      <w:tr>
        <w:tc>
          <w:tcPr>
            <w:tcW w:type="dxa" w:w="1800"/>
            <w:tcBorders>
              <w:top w:val="single" w:color="CCCCCC" w:sz="4"/>
              <w:left w:val="single" w:color="CCCCCC" w:sz="4"/>
              <w:bottom w:val="single" w:color="CCCCCC" w:sz="4"/>
              <w:right w:val="single" w:color="CCCCCC" w:sz="4"/>
            </w:tcBorders>
            <w:shd w:fill="EEF1F6"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00000"/>
                <w:sz w:val="20"/>
                <w:szCs w:val="20"/>
              </w:rPr>
              <w:t xml:space="preserve">Google (Gemma)</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Alphabet (GOOGL)</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Gemma 4 26B</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Apache 2.0</w:t>
            </w:r>
          </w:p>
        </w:tc>
        <w:tc>
          <w:tcPr>
            <w:tcW w:type="dxa" w:w="2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NASDAQ: GOOGL</w:t>
            </w:r>
          </w:p>
        </w:tc>
      </w:tr>
      <w:tr>
        <w:tc>
          <w:tcPr>
            <w:tcW w:type="dxa" w:w="1800"/>
            <w:tcBorders>
              <w:top w:val="single" w:color="CCCCCC" w:sz="4"/>
              <w:left w:val="single" w:color="CCCCCC" w:sz="4"/>
              <w:bottom w:val="single" w:color="CCCCCC" w:sz="4"/>
              <w:right w:val="single" w:color="CCCCCC" w:sz="4"/>
            </w:tcBorders>
            <w:shd w:fill="EEF1F6"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00000"/>
                <w:sz w:val="20"/>
                <w:szCs w:val="20"/>
              </w:rPr>
              <w:t xml:space="preserve">Microsoft (Phi)</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Microsoft (MSFT)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Phi-4, Phi-4-Reasoning</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MIT</w:t>
            </w:r>
          </w:p>
        </w:tc>
        <w:tc>
          <w:tcPr>
            <w:tcW w:type="dxa" w:w="2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NASDAQ: MSFT</w:t>
            </w:r>
          </w:p>
        </w:tc>
      </w:tr>
      <w:tr>
        <w:tc>
          <w:tcPr>
            <w:tcW w:type="dxa" w:w="1800"/>
            <w:tcBorders>
              <w:top w:val="single" w:color="CCCCCC" w:sz="4"/>
              <w:left w:val="single" w:color="CCCCCC" w:sz="4"/>
              <w:bottom w:val="single" w:color="CCCCCC" w:sz="4"/>
              <w:right w:val="single" w:color="CCCCCC" w:sz="4"/>
            </w:tcBorders>
            <w:shd w:fill="EEF1F6"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00000"/>
                <w:sz w:val="20"/>
                <w:szCs w:val="20"/>
              </w:rPr>
              <w:t xml:space="preserve">NVIDIA (Nemotron)</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NVIDIA (NVDA)</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Nemotron Ultra 253B, Cascade 2</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NVIDIA Open Model License</w:t>
            </w:r>
          </w:p>
        </w:tc>
        <w:tc>
          <w:tcPr>
            <w:tcW w:type="dxa" w:w="2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NASDAQ: NVDA</w:t>
            </w:r>
          </w:p>
        </w:tc>
      </w:tr>
      <w:tr>
        <w:tc>
          <w:tcPr>
            <w:tcW w:type="dxa" w:w="1800"/>
            <w:tcBorders>
              <w:top w:val="single" w:color="CCCCCC" w:sz="4"/>
              <w:left w:val="single" w:color="CCCCCC" w:sz="4"/>
              <w:bottom w:val="single" w:color="CCCCCC" w:sz="4"/>
              <w:right w:val="single" w:color="CCCCCC" w:sz="4"/>
            </w:tcBorders>
            <w:shd w:fill="EEF1F6"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00000"/>
                <w:sz w:val="20"/>
                <w:szCs w:val="20"/>
              </w:rPr>
              <w:t xml:space="preserve">Moonshot AI</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Private (CN)</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Kimi K2.5 (1T params)</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Modified MIT</w:t>
            </w:r>
          </w:p>
        </w:tc>
        <w:tc>
          <w:tcPr>
            <w:tcW w:type="dxa" w:w="20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Private — Alibaba-backed</w:t>
            </w:r>
          </w:p>
        </w:tc>
      </w:tr>
    </w:tbl>
    <w:p>
      <w:pPr>
        <w:spacing w:after="60" w:before="60"/>
      </w:pPr>
      <w:r>
        <w:rPr>
          <w:sz w:val="20"/>
          <w:szCs w:val="20"/>
        </w:rPr>
        <w:t xml:space="preserve"/>
      </w:r>
    </w:p>
    <w:p>
      <w:pPr>
        <w:spacing w:after="60" w:before="60" w:line="300"/>
        <w:jc w:val="both"/>
      </w:pPr>
      <w:r>
        <w:rPr>
          <w:rFonts w:ascii="Calibri" w:cs="Calibri" w:eastAsia="Calibri" w:hAnsi="Calibri"/>
          <w:b w:val="false"/>
          <w:bCs w:val="false"/>
          <w:i w:val="false"/>
          <w:iCs w:val="false"/>
          <w:color w:val="000000"/>
          <w:sz w:val="22"/>
          <w:szCs w:val="22"/>
        </w:rPr>
        <w:t xml:space="preserve">Observations on the open-weight cohort:</w:t>
      </w:r>
    </w:p>
    <w:p>
      <w:pPr>
        <w:pStyle w:val="ListParagraph"/>
        <w:numPr>
          <w:ilvl w:val="0"/>
          <w:numId w:val="2"/>
        </w:numPr>
        <w:spacing w:after="40" w:before="40" w:line="280"/>
      </w:pPr>
      <w:r>
        <w:rPr>
          <w:rFonts w:ascii="Calibri" w:cs="Calibri" w:eastAsia="Calibri" w:hAnsi="Calibri"/>
          <w:b/>
          <w:bCs/>
          <w:i w:val="false"/>
          <w:iCs w:val="false"/>
          <w:sz w:val="22"/>
          <w:szCs w:val="22"/>
        </w:rPr>
        <w:t xml:space="preserve">Chinese labs now lead the open-weight leaderboards. </w:t>
      </w:r>
      <w:r>
        <w:rPr>
          <w:rFonts w:ascii="Calibri" w:cs="Calibri" w:eastAsia="Calibri" w:hAnsi="Calibri"/>
          <w:b w:val="false"/>
          <w:bCs w:val="false"/>
          <w:i w:val="false"/>
          <w:iCs w:val="false"/>
          <w:sz w:val="22"/>
          <w:szCs w:val="22"/>
        </w:rPr>
        <w:t xml:space="preserve">Zhipu GLM-5 (744B params), Alibaba Qwen 3.5 (397B), Moonshot Kimi K2.5 (1T), and DeepSeek V3.2 (685B) occupy the top positions on BenchLM and Onyx open-weight leaderboards as of March 2026. Llama 4 Scout/Maverick have ceded the top tier but retain the largest ecosystem.</w:t>
      </w:r>
    </w:p>
    <w:p>
      <w:pPr>
        <w:pStyle w:val="ListParagraph"/>
        <w:numPr>
          <w:ilvl w:val="0"/>
          <w:numId w:val="2"/>
        </w:numPr>
        <w:spacing w:after="40" w:before="40" w:line="280"/>
      </w:pPr>
      <w:r>
        <w:rPr>
          <w:rFonts w:ascii="Calibri" w:cs="Calibri" w:eastAsia="Calibri" w:hAnsi="Calibri"/>
          <w:b/>
          <w:bCs/>
          <w:i w:val="false"/>
          <w:iCs w:val="false"/>
          <w:sz w:val="22"/>
          <w:szCs w:val="22"/>
        </w:rPr>
        <w:t xml:space="preserve">License fragmentation matters for enterprise adoption. </w:t>
      </w:r>
      <w:r>
        <w:rPr>
          <w:rFonts w:ascii="Calibri" w:cs="Calibri" w:eastAsia="Calibri" w:hAnsi="Calibri"/>
          <w:b w:val="false"/>
          <w:bCs w:val="false"/>
          <w:i w:val="false"/>
          <w:iCs w:val="false"/>
          <w:sz w:val="22"/>
          <w:szCs w:val="22"/>
        </w:rPr>
        <w:t xml:space="preserve">Apache 2.0 and MIT are the preferred licenses for enterprise deployment (Mistral, Qwen, Phi, Gemma). Meta's Community License and Anthropic/OpenAI's lack of open weights drive regulated-industry customers toward Mistral and Qwen.</w:t>
      </w:r>
    </w:p>
    <w:p>
      <w:pPr>
        <w:pStyle w:val="ListParagraph"/>
        <w:numPr>
          <w:ilvl w:val="0"/>
          <w:numId w:val="2"/>
        </w:numPr>
        <w:spacing w:after="40" w:before="40" w:line="280"/>
      </w:pPr>
      <w:r>
        <w:rPr>
          <w:rFonts w:ascii="Calibri" w:cs="Calibri" w:eastAsia="Calibri" w:hAnsi="Calibri"/>
          <w:b/>
          <w:bCs/>
          <w:i w:val="false"/>
          <w:iCs w:val="false"/>
          <w:sz w:val="22"/>
          <w:szCs w:val="22"/>
        </w:rPr>
        <w:t xml:space="preserve">DeepSeek V4 is the most important catalyst to watch. </w:t>
      </w:r>
      <w:r>
        <w:rPr>
          <w:rFonts w:ascii="Calibri" w:cs="Calibri" w:eastAsia="Calibri" w:hAnsi="Calibri"/>
          <w:b w:val="false"/>
          <w:bCs w:val="false"/>
          <w:i w:val="false"/>
          <w:iCs w:val="false"/>
          <w:sz w:val="22"/>
          <w:szCs w:val="22"/>
        </w:rPr>
        <w:t xml:space="preserve">Expected to launch within weeks on Huawei Ascend 950PR chips at $0.14–$0.30 per million input tokens — pricing that would be ~90% below current closed-weight API rates. This will be the single most disruptive pricing event of Q2 2026 if it ships as forecast.</w:t>
      </w:r>
    </w:p>
    <w:p>
      <w:r>
        <w:br w:type="page"/>
      </w:r>
    </w:p>
    <w:p>
      <w:pPr>
        <w:pStyle w:val="Heading1"/>
        <w:spacing w:after="180" w:before="360"/>
      </w:pPr>
      <w:r>
        <w:rPr>
          <w:rFonts w:ascii="Calibri" w:cs="Calibri" w:eastAsia="Calibri" w:hAnsi="Calibri"/>
          <w:b/>
          <w:bCs/>
          <w:color w:val="0A2A5E"/>
          <w:sz w:val="32"/>
          <w:szCs w:val="32"/>
        </w:rPr>
        <w:t xml:space="preserve">5. Gaining Exposure to Private AI Companies</w:t>
      </w:r>
    </w:p>
    <w:p>
      <w:pPr>
        <w:spacing w:after="60" w:before="60" w:line="300"/>
        <w:jc w:val="both"/>
      </w:pPr>
      <w:r>
        <w:rPr>
          <w:rFonts w:ascii="Calibri" w:cs="Calibri" w:eastAsia="Calibri" w:hAnsi="Calibri"/>
          <w:b w:val="false"/>
          <w:bCs w:val="false"/>
          <w:i w:val="false"/>
          <w:iCs w:val="false"/>
          <w:color w:val="000000"/>
          <w:sz w:val="22"/>
          <w:szCs w:val="22"/>
        </w:rPr>
        <w:t xml:space="preserve">With OpenAI, Anthropic, xAI, and Mistral all private, the dominant public-market question from allocators is how to gain exposure without waiting for IPO cycles. There are now three distinct exposure tiers available, each with different liquidity, cost, and correlation profiles:</w:t>
      </w:r>
    </w:p>
    <w:p>
      <w:pPr>
        <w:pStyle w:val="Heading2"/>
        <w:spacing w:after="120" w:before="240"/>
      </w:pPr>
      <w:r>
        <w:rPr>
          <w:rFonts w:ascii="Calibri" w:cs="Calibri" w:eastAsia="Calibri" w:hAnsi="Calibri"/>
          <w:b/>
          <w:bCs/>
          <w:color w:val="0A2A5E"/>
          <w:sz w:val="26"/>
          <w:szCs w:val="26"/>
        </w:rPr>
        <w:t xml:space="preserve">5.1 Tier 1: Public-Market Strategic Investor Proxies</w:t>
      </w:r>
    </w:p>
    <w:p>
      <w:pPr>
        <w:spacing w:after="60" w:before="60" w:line="300"/>
        <w:jc w:val="both"/>
      </w:pPr>
      <w:r>
        <w:rPr>
          <w:rFonts w:ascii="Calibri" w:cs="Calibri" w:eastAsia="Calibri" w:hAnsi="Calibri"/>
          <w:b w:val="false"/>
          <w:bCs w:val="false"/>
          <w:i w:val="false"/>
          <w:iCs w:val="false"/>
          <w:color w:val="000000"/>
          <w:sz w:val="22"/>
          <w:szCs w:val="22"/>
        </w:rPr>
        <w:t xml:space="preserve">The cleanest, most liquid path is to purchase the public equities of strategic investors who hold material private AI stakes. Microsoft's 27% equity interest in OpenAI, combined with its 20% revenue-share agreement through 2032, makes MSFT effectively the largest publicly traded OpenAI proxy. Alphabet holds a roughly 10% stake in Anthropic (origin: $300M investment April 2023) alongside its in-house Gemini and TPU stack. Amazon has committed up to $25B in Anthropic investment and has secured 2GW of AWS Trainium compute for Anthropic workloads.</w:t>
      </w:r>
    </w:p>
    <w:p>
      <w:pPr>
        <w:pStyle w:val="Heading2"/>
        <w:spacing w:after="120" w:before="240"/>
      </w:pPr>
      <w:r>
        <w:rPr>
          <w:rFonts w:ascii="Calibri" w:cs="Calibri" w:eastAsia="Calibri" w:hAnsi="Calibri"/>
          <w:b/>
          <w:bCs/>
          <w:color w:val="0A2A5E"/>
          <w:sz w:val="26"/>
          <w:szCs w:val="26"/>
        </w:rPr>
        <w:t xml:space="preserve">5.2 Tier 2: Publicly Traded Venture Vehicles</w:t>
      </w:r>
    </w:p>
    <w:p>
      <w:pPr>
        <w:spacing w:after="60" w:before="60" w:line="300"/>
        <w:jc w:val="both"/>
      </w:pPr>
      <w:r>
        <w:rPr>
          <w:rFonts w:ascii="Calibri" w:cs="Calibri" w:eastAsia="Calibri" w:hAnsi="Calibri"/>
          <w:b w:val="false"/>
          <w:bCs w:val="false"/>
          <w:i w:val="false"/>
          <w:iCs w:val="false"/>
          <w:color w:val="000000"/>
          <w:sz w:val="22"/>
          <w:szCs w:val="22"/>
        </w:rPr>
        <w:t xml:space="preserve">For more direct exposure to private AI stakes, a new generation of publicly accessible vehicles has emerged. The Destiny Tech100 (NYSE: DXYZ) is the most liquid — a closed-end fund holding OpenAI, SpaceX, Anthropic, and Epic Games. Caveat: DXYZ trades at a persistent premium to NAV. The ARK Venture Fund (ARKVX) is an interval fund with ~40% concentration in five private names (SpaceX, OpenAI, Anthropic, among others). Interval-fund structure means quarterly redemption only — this is not a liquid instrument.</w:t>
      </w:r>
    </w:p>
    <w:p>
      <w:pPr>
        <w:pStyle w:val="Heading2"/>
        <w:spacing w:after="120" w:before="240"/>
      </w:pPr>
      <w:r>
        <w:rPr>
          <w:rFonts w:ascii="Calibri" w:cs="Calibri" w:eastAsia="Calibri" w:hAnsi="Calibri"/>
          <w:b/>
          <w:bCs/>
          <w:color w:val="0A2A5E"/>
          <w:sz w:val="26"/>
          <w:szCs w:val="26"/>
        </w:rPr>
        <w:t xml:space="preserve">5.3 Tier 3: Direct Pre-IPO Platforms</w:t>
      </w:r>
    </w:p>
    <w:p>
      <w:pPr>
        <w:spacing w:after="60" w:before="60" w:line="300"/>
        <w:jc w:val="both"/>
      </w:pPr>
      <w:r>
        <w:rPr>
          <w:rFonts w:ascii="Calibri" w:cs="Calibri" w:eastAsia="Calibri" w:hAnsi="Calibri"/>
          <w:b w:val="false"/>
          <w:bCs w:val="false"/>
          <w:i w:val="false"/>
          <w:iCs w:val="false"/>
          <w:color w:val="000000"/>
          <w:sz w:val="22"/>
          <w:szCs w:val="22"/>
        </w:rPr>
        <w:t xml:space="preserve">For accredited investors seeking direct ownership, secondary marketplaces Hiive and Forge facilitate purchases of private-company shares directly from employees, early investors, and VC firms. Anthropic is currently among the most active names on Hiive with 46 active orders as of this writing. AngelList's USVC (launched April 22, 2026) is a notable democratization: $500 minimum, non-accredited investors eligible, and a 1% management fee with no traditional venture carry. Robinhood Ventures Fund I purchased $75M of OpenAI stock in April 2026 and is publicly accessible to retail.</w:t>
      </w:r>
    </w:p>
    <w:p>
      <w:pPr>
        <w:pStyle w:val="Heading2"/>
        <w:spacing w:after="120" w:before="240"/>
      </w:pPr>
      <w:r>
        <w:rPr>
          <w:rFonts w:ascii="Calibri" w:cs="Calibri" w:eastAsia="Calibri" w:hAnsi="Calibri"/>
          <w:b/>
          <w:bCs/>
          <w:color w:val="0A2A5E"/>
          <w:sz w:val="26"/>
          <w:szCs w:val="26"/>
        </w:rPr>
        <w:t xml:space="preserve">5.4 Exposure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CCCCCC" w:sz="4"/>
              <w:left w:val="single" w:color="CCCCCC" w:sz="4"/>
              <w:bottom w:val="single" w:color="CCCCCC" w:sz="4"/>
              <w:right w:val="single" w:color="CCCCCC" w:sz="4"/>
            </w:tcBorders>
            <w:shd w:fill="0A2A5E"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Vehicle</w:t>
            </w:r>
          </w:p>
        </w:tc>
        <w:tc>
          <w:tcPr>
            <w:tcW w:type="dxa" w:w="2200"/>
            <w:tcBorders>
              <w:top w:val="single" w:color="CCCCCC" w:sz="4"/>
              <w:left w:val="single" w:color="CCCCCC" w:sz="4"/>
              <w:bottom w:val="single" w:color="CCCCCC" w:sz="4"/>
              <w:right w:val="single" w:color="CCCCCC" w:sz="4"/>
            </w:tcBorders>
            <w:shd w:fill="0A2A5E"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Ticker / Access</w:t>
            </w:r>
          </w:p>
        </w:tc>
        <w:tc>
          <w:tcPr>
            <w:tcW w:type="dxa" w:w="2200"/>
            <w:tcBorders>
              <w:top w:val="single" w:color="CCCCCC" w:sz="4"/>
              <w:left w:val="single" w:color="CCCCCC" w:sz="4"/>
              <w:bottom w:val="single" w:color="CCCCCC" w:sz="4"/>
              <w:right w:val="single" w:color="CCCCCC" w:sz="4"/>
            </w:tcBorders>
            <w:shd w:fill="0A2A5E"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AI Exposure</w:t>
            </w:r>
          </w:p>
        </w:tc>
        <w:tc>
          <w:tcPr>
            <w:tcW w:type="dxa" w:w="2760"/>
            <w:tcBorders>
              <w:top w:val="single" w:color="CCCCCC" w:sz="4"/>
              <w:left w:val="single" w:color="CCCCCC" w:sz="4"/>
              <w:bottom w:val="single" w:color="CCCCCC" w:sz="4"/>
              <w:right w:val="single" w:color="CCCCCC" w:sz="4"/>
            </w:tcBorders>
            <w:shd w:fill="0A2A5E"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Notes</w:t>
            </w:r>
          </w:p>
        </w:tc>
      </w:tr>
      <w:tr>
        <w:tc>
          <w:tcPr>
            <w:tcW w:type="dxa" w:w="2200"/>
            <w:tcBorders>
              <w:top w:val="single" w:color="CCCCCC" w:sz="4"/>
              <w:left w:val="single" w:color="CCCCCC" w:sz="4"/>
              <w:bottom w:val="single" w:color="CCCCCC" w:sz="4"/>
              <w:right w:val="single" w:color="CCCCCC" w:sz="4"/>
            </w:tcBorders>
            <w:shd w:fill="EEF1F6"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00000"/>
                <w:sz w:val="20"/>
                <w:szCs w:val="20"/>
              </w:rPr>
              <w:t xml:space="preserve">Microsoft</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NASDAQ: MSFT</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OpenAI (27% equity + 20% rev-share through 2032)</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Cleanest public-market proxy for OpenAI; additional Azure AI tailwind</w:t>
            </w:r>
          </w:p>
        </w:tc>
      </w:tr>
      <w:tr>
        <w:tc>
          <w:tcPr>
            <w:tcW w:type="dxa" w:w="2200"/>
            <w:tcBorders>
              <w:top w:val="single" w:color="CCCCCC" w:sz="4"/>
              <w:left w:val="single" w:color="CCCCCC" w:sz="4"/>
              <w:bottom w:val="single" w:color="CCCCCC" w:sz="4"/>
              <w:right w:val="single" w:color="CCCCCC" w:sz="4"/>
            </w:tcBorders>
            <w:shd w:fill="EEF1F6"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00000"/>
                <w:sz w:val="20"/>
                <w:szCs w:val="20"/>
              </w:rPr>
              <w:t xml:space="preserve">Alphabet</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NASDAQ: GOOGL</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Anthropic equity stake + Gemini/DeepMind + TPU</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Triple-vector exposure: proprietary Gemini, competitor funding, and TPU-as-a-service</w:t>
            </w:r>
          </w:p>
        </w:tc>
      </w:tr>
      <w:tr>
        <w:tc>
          <w:tcPr>
            <w:tcW w:type="dxa" w:w="2200"/>
            <w:tcBorders>
              <w:top w:val="single" w:color="CCCCCC" w:sz="4"/>
              <w:left w:val="single" w:color="CCCCCC" w:sz="4"/>
              <w:bottom w:val="single" w:color="CCCCCC" w:sz="4"/>
              <w:right w:val="single" w:color="CCCCCC" w:sz="4"/>
            </w:tcBorders>
            <w:shd w:fill="EEF1F6"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00000"/>
                <w:sz w:val="20"/>
                <w:szCs w:val="20"/>
              </w:rPr>
              <w:t xml:space="preserve">Amazon</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NASDAQ: AMZN</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Anthropic: $8B+ invested, 2GW AWS Trainium deal</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AWS remains largest cloud beneficiary of AI buildout</w:t>
            </w:r>
          </w:p>
        </w:tc>
      </w:tr>
      <w:tr>
        <w:tc>
          <w:tcPr>
            <w:tcW w:type="dxa" w:w="2200"/>
            <w:tcBorders>
              <w:top w:val="single" w:color="CCCCCC" w:sz="4"/>
              <w:left w:val="single" w:color="CCCCCC" w:sz="4"/>
              <w:bottom w:val="single" w:color="CCCCCC" w:sz="4"/>
              <w:right w:val="single" w:color="CCCCCC" w:sz="4"/>
            </w:tcBorders>
            <w:shd w:fill="EEF1F6"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00000"/>
                <w:sz w:val="20"/>
                <w:szCs w:val="20"/>
              </w:rPr>
              <w:t xml:space="preserve">ARK Venture Fund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ARKVX (interval fund)</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SpaceX (~17%), OpenAI (~11%), Anthropic (~4%)</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2.9% expense ratio; quarterly liquidity; SoFi or Titan access</w:t>
            </w:r>
          </w:p>
        </w:tc>
      </w:tr>
      <w:tr>
        <w:tc>
          <w:tcPr>
            <w:tcW w:type="dxa" w:w="2200"/>
            <w:tcBorders>
              <w:top w:val="single" w:color="CCCCCC" w:sz="4"/>
              <w:left w:val="single" w:color="CCCCCC" w:sz="4"/>
              <w:bottom w:val="single" w:color="CCCCCC" w:sz="4"/>
              <w:right w:val="single" w:color="CCCCCC" w:sz="4"/>
            </w:tcBorders>
            <w:shd w:fill="EEF1F6"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00000"/>
                <w:sz w:val="20"/>
                <w:szCs w:val="20"/>
              </w:rPr>
              <w:t xml:space="preserve">Destiny Tech100</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NYSE: DXYZ</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OpenAI, SpaceX, Anthropic, Epic Games</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Publicly traded CEF; trades at persistent NAV premium, watch entry point</w:t>
            </w:r>
          </w:p>
        </w:tc>
      </w:tr>
      <w:tr>
        <w:tc>
          <w:tcPr>
            <w:tcW w:type="dxa" w:w="2200"/>
            <w:tcBorders>
              <w:top w:val="single" w:color="CCCCCC" w:sz="4"/>
              <w:left w:val="single" w:color="CCCCCC" w:sz="4"/>
              <w:bottom w:val="single" w:color="CCCCCC" w:sz="4"/>
              <w:right w:val="single" w:color="CCCCCC" w:sz="4"/>
            </w:tcBorders>
            <w:shd w:fill="EEF1F6"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00000"/>
                <w:sz w:val="20"/>
                <w:szCs w:val="20"/>
              </w:rPr>
              <w:t xml:space="preserve">AngelList USVC</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USVC (launched 4/22/26)</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xAI (largest), OpenAI, Anthropic, 4 others</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$500 minimum; non-accredited eligible; 1% mgmt fee, no carry</w:t>
            </w:r>
          </w:p>
        </w:tc>
      </w:tr>
      <w:tr>
        <w:tc>
          <w:tcPr>
            <w:tcW w:type="dxa" w:w="2200"/>
            <w:tcBorders>
              <w:top w:val="single" w:color="CCCCCC" w:sz="4"/>
              <w:left w:val="single" w:color="CCCCCC" w:sz="4"/>
              <w:bottom w:val="single" w:color="CCCCCC" w:sz="4"/>
              <w:right w:val="single" w:color="CCCCCC" w:sz="4"/>
            </w:tcBorders>
            <w:shd w:fill="EEF1F6"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00000"/>
                <w:sz w:val="20"/>
                <w:szCs w:val="20"/>
              </w:rPr>
              <w:t xml:space="preserve">Robinhood Ventures Fund I</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Robinhood platform</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$75M OpenAI stock purchased April 2026</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Publicly tradable ticker for retail pre-IPO access</w:t>
            </w:r>
          </w:p>
        </w:tc>
      </w:tr>
      <w:tr>
        <w:tc>
          <w:tcPr>
            <w:tcW w:type="dxa" w:w="2200"/>
            <w:tcBorders>
              <w:top w:val="single" w:color="CCCCCC" w:sz="4"/>
              <w:left w:val="single" w:color="CCCCCC" w:sz="4"/>
              <w:bottom w:val="single" w:color="CCCCCC" w:sz="4"/>
              <w:right w:val="single" w:color="CCCCCC" w:sz="4"/>
            </w:tcBorders>
            <w:shd w:fill="EEF1F6"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00000"/>
                <w:sz w:val="20"/>
                <w:szCs w:val="20"/>
              </w:rPr>
              <w:t xml:space="preserve">Hiive / Forge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Secondary marketplaces</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Direct Anthropic, OpenAI, xAI, Cerebras shares</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Accredited-investor only; 3,000+ private names; liquidity varies</w:t>
            </w:r>
          </w:p>
        </w:tc>
      </w:tr>
      <w:tr>
        <w:tc>
          <w:tcPr>
            <w:tcW w:type="dxa" w:w="2200"/>
            <w:tcBorders>
              <w:top w:val="single" w:color="CCCCCC" w:sz="4"/>
              <w:left w:val="single" w:color="CCCCCC" w:sz="4"/>
              <w:bottom w:val="single" w:color="CCCCCC" w:sz="4"/>
              <w:right w:val="single" w:color="CCCCCC" w:sz="4"/>
            </w:tcBorders>
            <w:shd w:fill="EEF1F6"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00000"/>
                <w:sz w:val="20"/>
                <w:szCs w:val="20"/>
              </w:rPr>
              <w:t xml:space="preserve">Roundhill GenAI ETF</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NYSE: CHAT</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Basket of public AI names</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Broad thematic exposure; no private-company content</w:t>
            </w:r>
          </w:p>
        </w:tc>
      </w:tr>
      <w:tr>
        <w:tc>
          <w:tcPr>
            <w:tcW w:type="dxa" w:w="2200"/>
            <w:tcBorders>
              <w:top w:val="single" w:color="CCCCCC" w:sz="4"/>
              <w:left w:val="single" w:color="CCCCCC" w:sz="4"/>
              <w:bottom w:val="single" w:color="CCCCCC" w:sz="4"/>
              <w:right w:val="single" w:color="CCCCCC" w:sz="4"/>
            </w:tcBorders>
            <w:shd w:fill="EEF1F6"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00000"/>
                <w:sz w:val="20"/>
                <w:szCs w:val="20"/>
              </w:rPr>
              <w:t xml:space="preserve">Coatue Mgmt (pass-through)</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N/A — institutional LP</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Anthropic lead investor Feb 2026 round</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Institutional access only</w:t>
            </w:r>
          </w:p>
        </w:tc>
      </w:tr>
    </w:tbl>
    <w:p>
      <w:pPr>
        <w:spacing w:after="60" w:before="60"/>
      </w:pPr>
      <w:r>
        <w:rPr>
          <w:sz w:val="20"/>
          <w:szCs w:val="20"/>
        </w:rPr>
        <w:t xml:space="preserve"/>
      </w:r>
    </w:p>
    <w:p>
      <w:pPr>
        <w:spacing w:after="60" w:before="60" w:line="300"/>
        <w:jc w:val="both"/>
      </w:pPr>
      <w:r>
        <w:rPr>
          <w:rFonts w:ascii="Calibri" w:cs="Calibri" w:eastAsia="Calibri" w:hAnsi="Calibri"/>
          <w:b w:val="false"/>
          <w:bCs w:val="false"/>
          <w:i w:val="false"/>
          <w:iCs w:val="false"/>
          <w:color w:val="000000"/>
          <w:sz w:val="22"/>
          <w:szCs w:val="22"/>
        </w:rPr>
        <w:t xml:space="preserve">Recommended framework for the desk: for institutional and HNW accounts seeking OpenAI exposure, MSFT remains the most capital-efficient and liquid vehicle. For Anthropic, GOOGL is the cleanest single-name proxy (given the equity stake and Vertex AI distribution), with AMZN as a secondary. For diversified basket exposure across OpenAI + Anthropic + xAI + SpaceX, ARKVX or DXYZ are viable — but investors must understand the liquidity and NAV-premium mechanics. Direct secondaries via Hiive/Forge should be reserved for accounts with multi-year lockup tolerance.</w:t>
      </w:r>
    </w:p>
    <w:p>
      <w:r>
        <w:br w:type="page"/>
      </w:r>
    </w:p>
    <w:p>
      <w:pPr>
        <w:pStyle w:val="Heading1"/>
        <w:spacing w:after="180" w:before="360"/>
      </w:pPr>
      <w:r>
        <w:rPr>
          <w:rFonts w:ascii="Calibri" w:cs="Calibri" w:eastAsia="Calibri" w:hAnsi="Calibri"/>
          <w:b/>
          <w:bCs/>
          <w:color w:val="0A2A5E"/>
          <w:sz w:val="32"/>
          <w:szCs w:val="32"/>
        </w:rPr>
        <w:t xml:space="preserve">6. AI Supply Chain — Complete Stack</w:t>
      </w:r>
    </w:p>
    <w:p>
      <w:pPr>
        <w:spacing w:after="60" w:before="60" w:line="300"/>
        <w:jc w:val="both"/>
      </w:pPr>
      <w:r>
        <w:rPr>
          <w:rFonts w:ascii="Calibri" w:cs="Calibri" w:eastAsia="Calibri" w:hAnsi="Calibri"/>
          <w:b w:val="false"/>
          <w:bCs w:val="false"/>
          <w:i w:val="false"/>
          <w:iCs w:val="false"/>
          <w:color w:val="000000"/>
          <w:sz w:val="22"/>
          <w:szCs w:val="22"/>
        </w:rPr>
        <w:t xml:space="preserve">The defining feature of the 2026 AI supply chain is that every major physical layer is currently supply-constrained. This is the strongest possible environment for the "picks and shovels" investment thesis and partly explains why NVDA, TSMC, and ASML trade at premium multiples despite cyclically-sensitive end markets. The important nuance for the MD: open-weight and closed-weight labs consume the same physical supply chain. The competitive question between camps is almost entirely upstream of the silicon — both Meta's Llama training runs and OpenAI's GPT-5 training runs ultimately land on TSMC-fabricated, SK Hynix-memoried, CoWoS-packaged NVIDIA GPUs (or hyperscaler equivalents).</w:t>
      </w:r>
    </w:p>
    <w:p>
      <w:pPr>
        <w:pStyle w:val="Heading2"/>
        <w:spacing w:after="120" w:before="240"/>
      </w:pPr>
      <w:r>
        <w:rPr>
          <w:rFonts w:ascii="Calibri" w:cs="Calibri" w:eastAsia="Calibri" w:hAnsi="Calibri"/>
          <w:b/>
          <w:bCs/>
          <w:color w:val="0A2A5E"/>
          <w:sz w:val="26"/>
          <w:szCs w:val="26"/>
        </w:rPr>
        <w:t xml:space="preserve">6.1 The Full Value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000"/>
        <w:gridCol w:w="2760"/>
      </w:tblGrid>
      <w:tr>
        <w:trPr>
          <w:tblHeader/>
        </w:trPr>
        <w:tc>
          <w:tcPr>
            <w:tcW w:type="dxa" w:w="1800"/>
            <w:tcBorders>
              <w:top w:val="single" w:color="CCCCCC" w:sz="4"/>
              <w:left w:val="single" w:color="CCCCCC" w:sz="4"/>
              <w:bottom w:val="single" w:color="CCCCCC" w:sz="4"/>
              <w:right w:val="single" w:color="CCCCCC" w:sz="4"/>
            </w:tcBorders>
            <w:shd w:fill="0A2A5E"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Layer</w:t>
            </w:r>
          </w:p>
        </w:tc>
        <w:tc>
          <w:tcPr>
            <w:tcW w:type="dxa" w:w="1800"/>
            <w:tcBorders>
              <w:top w:val="single" w:color="CCCCCC" w:sz="4"/>
              <w:left w:val="single" w:color="CCCCCC" w:sz="4"/>
              <w:bottom w:val="single" w:color="CCCCCC" w:sz="4"/>
              <w:right w:val="single" w:color="CCCCCC" w:sz="4"/>
            </w:tcBorders>
            <w:shd w:fill="0A2A5E"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Key Players</w:t>
            </w:r>
          </w:p>
        </w:tc>
        <w:tc>
          <w:tcPr>
            <w:tcW w:type="dxa" w:w="3000"/>
            <w:tcBorders>
              <w:top w:val="single" w:color="CCCCCC" w:sz="4"/>
              <w:left w:val="single" w:color="CCCCCC" w:sz="4"/>
              <w:bottom w:val="single" w:color="CCCCCC" w:sz="4"/>
              <w:right w:val="single" w:color="CCCCCC" w:sz="4"/>
            </w:tcBorders>
            <w:shd w:fill="0A2A5E"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Role / Position</w:t>
            </w:r>
          </w:p>
        </w:tc>
        <w:tc>
          <w:tcPr>
            <w:tcW w:type="dxa" w:w="2760"/>
            <w:tcBorders>
              <w:top w:val="single" w:color="CCCCCC" w:sz="4"/>
              <w:left w:val="single" w:color="CCCCCC" w:sz="4"/>
              <w:bottom w:val="single" w:color="CCCCCC" w:sz="4"/>
              <w:right w:val="single" w:color="CCCCCC" w:sz="4"/>
            </w:tcBorders>
            <w:shd w:fill="0A2A5E"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Supply Situation</w:t>
            </w:r>
          </w:p>
        </w:tc>
      </w:tr>
      <w:tr>
        <w:tc>
          <w:tcPr>
            <w:tcW w:type="dxa" w:w="1800"/>
            <w:tcBorders>
              <w:top w:val="single" w:color="CCCCCC" w:sz="4"/>
              <w:left w:val="single" w:color="CCCCCC" w:sz="4"/>
              <w:bottom w:val="single" w:color="CCCCCC" w:sz="4"/>
              <w:right w:val="single" w:color="CCCCCC" w:sz="4"/>
            </w:tcBorders>
            <w:shd w:fill="EEF1F6"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00000"/>
                <w:sz w:val="20"/>
                <w:szCs w:val="20"/>
              </w:rPr>
              <w:t xml:space="preserve">Lithography</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ASML</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Sole supplier of EUV and High-NA EUV lithography; required for 3nm/2nm/1.4nm</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~€36B backlog at YE25; ~6–8 High-NA deliveries modeled for 2026 (~$380M each)</w:t>
            </w:r>
          </w:p>
        </w:tc>
      </w:tr>
      <w:tr>
        <w:tc>
          <w:tcPr>
            <w:tcW w:type="dxa" w:w="1800"/>
            <w:tcBorders>
              <w:top w:val="single" w:color="CCCCCC" w:sz="4"/>
              <w:left w:val="single" w:color="CCCCCC" w:sz="4"/>
              <w:bottom w:val="single" w:color="CCCCCC" w:sz="4"/>
              <w:right w:val="single" w:color="CCCCCC" w:sz="4"/>
            </w:tcBorders>
            <w:shd w:fill="EEF1F6"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00000"/>
                <w:sz w:val="20"/>
                <w:szCs w:val="20"/>
              </w:rPr>
              <w:t xml:space="preserve">Wafer Fab</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TSMC; Samsung; Intel Foundry</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TSMC dominates advanced-node AI fab; produces chips for NVDA, AMD, AAPL, AVGO, GOOGL</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2nm (N2) booked 78–104 weeks; new orders filling into 2028; $52–56B 2026 capex</w:t>
            </w:r>
          </w:p>
        </w:tc>
      </w:tr>
      <w:tr>
        <w:tc>
          <w:tcPr>
            <w:tcW w:type="dxa" w:w="1800"/>
            <w:tcBorders>
              <w:top w:val="single" w:color="CCCCCC" w:sz="4"/>
              <w:left w:val="single" w:color="CCCCCC" w:sz="4"/>
              <w:bottom w:val="single" w:color="CCCCCC" w:sz="4"/>
              <w:right w:val="single" w:color="CCCCCC" w:sz="4"/>
            </w:tcBorders>
            <w:shd w:fill="EEF1F6"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00000"/>
                <w:sz w:val="20"/>
                <w:szCs w:val="20"/>
              </w:rPr>
              <w:t xml:space="preserve">Advanced Packaging</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TSMC CoWoS; ASE; Amkor; Intel EMIB/Foveros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CoWoS integrates logic dies with HBM on silicon interposers — the actual AI chip bottleneck</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CoWoS capacity sold out through mid-2026 despite 2× expansion; ASE/Amkor sub-step outsourcing</w:t>
            </w:r>
          </w:p>
        </w:tc>
      </w:tr>
      <w:tr>
        <w:tc>
          <w:tcPr>
            <w:tcW w:type="dxa" w:w="1800"/>
            <w:tcBorders>
              <w:top w:val="single" w:color="CCCCCC" w:sz="4"/>
              <w:left w:val="single" w:color="CCCCCC" w:sz="4"/>
              <w:bottom w:val="single" w:color="CCCCCC" w:sz="4"/>
              <w:right w:val="single" w:color="CCCCCC" w:sz="4"/>
            </w:tcBorders>
            <w:shd w:fill="EEF1F6"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00000"/>
                <w:sz w:val="20"/>
                <w:szCs w:val="20"/>
              </w:rPr>
              <w:t xml:space="preserve">HBM Memory</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SK Hynix; Samsung; Micron</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High-bandwidth memory stacked on GPUs; core AI bandwidth constraint</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SK Hynix entire 2026 capacity allocated; HBM to ~30% of DRAM rev vs. 8% of output; HBM4 ramp in 2026</w:t>
            </w:r>
          </w:p>
        </w:tc>
      </w:tr>
      <w:tr>
        <w:tc>
          <w:tcPr>
            <w:tcW w:type="dxa" w:w="1800"/>
            <w:tcBorders>
              <w:top w:val="single" w:color="CCCCCC" w:sz="4"/>
              <w:left w:val="single" w:color="CCCCCC" w:sz="4"/>
              <w:bottom w:val="single" w:color="CCCCCC" w:sz="4"/>
              <w:right w:val="single" w:color="CCCCCC" w:sz="4"/>
            </w:tcBorders>
            <w:shd w:fill="EEF1F6"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00000"/>
                <w:sz w:val="20"/>
                <w:szCs w:val="20"/>
              </w:rPr>
              <w:t xml:space="preserve">GPU / AI Accel.</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NVIDIA; AMD; Intel Gaudi</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GPUs remain default training silicon; NVDA Blackwell / Vera Rubin dominate</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NVDA holds majority of TSMC CoWoS allocation; $250B purchase commitments across supply chain</w:t>
            </w:r>
          </w:p>
        </w:tc>
      </w:tr>
      <w:tr>
        <w:tc>
          <w:tcPr>
            <w:tcW w:type="dxa" w:w="1800"/>
            <w:tcBorders>
              <w:top w:val="single" w:color="CCCCCC" w:sz="4"/>
              <w:left w:val="single" w:color="CCCCCC" w:sz="4"/>
              <w:bottom w:val="single" w:color="CCCCCC" w:sz="4"/>
              <w:right w:val="single" w:color="CCCCCC" w:sz="4"/>
            </w:tcBorders>
            <w:shd w:fill="EEF1F6"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00000"/>
                <w:sz w:val="20"/>
                <w:szCs w:val="20"/>
              </w:rPr>
              <w:t xml:space="preserve">Custom ASIC</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Broadcom; Marvell; Alchip</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Design and tape-out partners for hyperscaler custom silicon (Google TPU, AWS Trainium, Meta MTIA)</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AVGO AI semi revenue +106% YoY; targets &gt;$100B custom AI chip revenue by 2027</w:t>
            </w:r>
          </w:p>
        </w:tc>
      </w:tr>
      <w:tr>
        <w:tc>
          <w:tcPr>
            <w:tcW w:type="dxa" w:w="1800"/>
            <w:tcBorders>
              <w:top w:val="single" w:color="CCCCCC" w:sz="4"/>
              <w:left w:val="single" w:color="CCCCCC" w:sz="4"/>
              <w:bottom w:val="single" w:color="CCCCCC" w:sz="4"/>
              <w:right w:val="single" w:color="CCCCCC" w:sz="4"/>
            </w:tcBorders>
            <w:shd w:fill="EEF1F6"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00000"/>
                <w:sz w:val="20"/>
                <w:szCs w:val="20"/>
              </w:rPr>
              <w:t xml:space="preserve">Hyperscaler Silicon</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Google TPU; AWS Trainium/Inferentia; Meta MTIA</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In-house accelerators reducing NVDA dependence; Anthropic committing to multi-GW TPU 2027+</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Google unveiled 2 new TPU variants Apr 2026; Anthropic multi-GW TPU commitment</w:t>
            </w:r>
          </w:p>
        </w:tc>
      </w:tr>
      <w:tr>
        <w:tc>
          <w:tcPr>
            <w:tcW w:type="dxa" w:w="1800"/>
            <w:tcBorders>
              <w:top w:val="single" w:color="CCCCCC" w:sz="4"/>
              <w:left w:val="single" w:color="CCCCCC" w:sz="4"/>
              <w:bottom w:val="single" w:color="CCCCCC" w:sz="4"/>
              <w:right w:val="single" w:color="CCCCCC" w:sz="4"/>
            </w:tcBorders>
            <w:shd w:fill="EEF1F6"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00000"/>
                <w:sz w:val="20"/>
                <w:szCs w:val="20"/>
              </w:rPr>
              <w:t xml:space="preserve">Networking</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NVIDIA (Mellanox); Arista; Broadcom</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NVLink, InfiniBand, and Ethernet AI-fabric switches for GPU clusters</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Growing capex share; AVGO Jericho/Tomahawk gaining share vs. NVDA Spectrum</w:t>
            </w:r>
          </w:p>
        </w:tc>
      </w:tr>
      <w:tr>
        <w:tc>
          <w:tcPr>
            <w:tcW w:type="dxa" w:w="1800"/>
            <w:tcBorders>
              <w:top w:val="single" w:color="CCCCCC" w:sz="4"/>
              <w:left w:val="single" w:color="CCCCCC" w:sz="4"/>
              <w:bottom w:val="single" w:color="CCCCCC" w:sz="4"/>
              <w:right w:val="single" w:color="CCCCCC" w:sz="4"/>
            </w:tcBorders>
            <w:shd w:fill="EEF1F6"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00000"/>
                <w:sz w:val="20"/>
                <w:szCs w:val="20"/>
              </w:rPr>
              <w:t xml:space="preserve">Server OEMs</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Dell; Super Micro; HPE; Foxconn/Hon Hai</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Integration of GPUs, liquid cooling, and networking into rack-scale systems</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Hon Hai (2317.TW) dominant contract manufacturer; SMCI rebuilding after accounting restatement</w:t>
            </w:r>
          </w:p>
        </w:tc>
      </w:tr>
      <w:tr>
        <w:tc>
          <w:tcPr>
            <w:tcW w:type="dxa" w:w="1800"/>
            <w:tcBorders>
              <w:top w:val="single" w:color="CCCCCC" w:sz="4"/>
              <w:left w:val="single" w:color="CCCCCC" w:sz="4"/>
              <w:bottom w:val="single" w:color="CCCCCC" w:sz="4"/>
              <w:right w:val="single" w:color="CCCCCC" w:sz="4"/>
            </w:tcBorders>
            <w:shd w:fill="EEF1F6"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00000"/>
                <w:sz w:val="20"/>
                <w:szCs w:val="20"/>
              </w:rPr>
              <w:t xml:space="preserve">Hyperscale Cloud</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MSFT Azure; AWS; GCP; Oracle; CoreWeave</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Training + inference capacity rental; increasingly dedicated AI-only campuses</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Alphabet 2026 capex up to $185B; OpenAI $1.4T total infra commitments signed 2025</w:t>
            </w:r>
          </w:p>
        </w:tc>
      </w:tr>
      <w:tr>
        <w:tc>
          <w:tcPr>
            <w:tcW w:type="dxa" w:w="1800"/>
            <w:tcBorders>
              <w:top w:val="single" w:color="CCCCCC" w:sz="4"/>
              <w:left w:val="single" w:color="CCCCCC" w:sz="4"/>
              <w:bottom w:val="single" w:color="CCCCCC" w:sz="4"/>
              <w:right w:val="single" w:color="CCCCCC" w:sz="4"/>
            </w:tcBorders>
            <w:shd w:fill="EEF1F6"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00000"/>
                <w:sz w:val="20"/>
                <w:szCs w:val="20"/>
              </w:rPr>
              <w:t xml:space="preserve">Power / Grid</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Constellation, Vistra; NextEra; SMR (OKLO, NNE)</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Generation contracts for AI data centers; SMRs and gas peakers</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U.S. DC demand: 176 TWh (2023) → 325–580 TWh (2028); PJM projects 6GW shortfall 2027</w:t>
            </w:r>
          </w:p>
        </w:tc>
      </w:tr>
      <w:tr>
        <w:tc>
          <w:tcPr>
            <w:tcW w:type="dxa" w:w="1800"/>
            <w:tcBorders>
              <w:top w:val="single" w:color="CCCCCC" w:sz="4"/>
              <w:left w:val="single" w:color="CCCCCC" w:sz="4"/>
              <w:bottom w:val="single" w:color="CCCCCC" w:sz="4"/>
              <w:right w:val="single" w:color="CCCCCC" w:sz="4"/>
            </w:tcBorders>
            <w:shd w:fill="EEF1F6"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00000"/>
                <w:sz w:val="20"/>
                <w:szCs w:val="20"/>
              </w:rPr>
              <w:t xml:space="preserve">Equipment / Materials</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Applied Materials; Lam Research; KLA; Entegris; Onto Innovation</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Deposition, etching, metrology, process control supporting ASML/TSMC</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Benefits from TSMC 2nm ramp and High-NA tool installs; stable duopoly structures</w:t>
            </w:r>
          </w:p>
        </w:tc>
      </w:tr>
    </w:tbl>
    <w:p>
      <w:pPr>
        <w:spacing w:after="60" w:before="60"/>
      </w:pPr>
      <w:r>
        <w:rPr>
          <w:sz w:val="20"/>
          <w:szCs w:val="20"/>
        </w:rPr>
        <w:t xml:space="preserve"/>
      </w:r>
    </w:p>
    <w:p>
      <w:pPr>
        <w:pStyle w:val="Heading2"/>
        <w:spacing w:after="120" w:before="240"/>
      </w:pPr>
      <w:r>
        <w:rPr>
          <w:rFonts w:ascii="Calibri" w:cs="Calibri" w:eastAsia="Calibri" w:hAnsi="Calibri"/>
          <w:b/>
          <w:bCs/>
          <w:color w:val="0A2A5E"/>
          <w:sz w:val="26"/>
          <w:szCs w:val="26"/>
        </w:rPr>
        <w:t xml:space="preserve">6.2 Three Structural Bottlenecks</w:t>
      </w:r>
    </w:p>
    <w:p>
      <w:pPr>
        <w:spacing w:after="60" w:before="60" w:line="300"/>
        <w:jc w:val="both"/>
      </w:pPr>
      <w:r>
        <w:rPr>
          <w:rFonts w:ascii="Calibri" w:cs="Calibri" w:eastAsia="Calibri" w:hAnsi="Calibri"/>
          <w:b/>
          <w:bCs/>
          <w:i w:val="false"/>
          <w:iCs w:val="false"/>
          <w:color w:val="000000"/>
          <w:sz w:val="22"/>
          <w:szCs w:val="22"/>
        </w:rPr>
        <w:t xml:space="preserve">1. CoWoS advanced packaging. </w:t>
      </w:r>
      <w:r>
        <w:rPr>
          <w:rFonts w:ascii="Calibri" w:cs="Calibri" w:eastAsia="Calibri" w:hAnsi="Calibri"/>
          <w:b w:val="false"/>
          <w:bCs w:val="false"/>
          <w:i w:val="false"/>
          <w:iCs w:val="false"/>
          <w:color w:val="000000"/>
          <w:sz w:val="22"/>
          <w:szCs w:val="22"/>
        </w:rPr>
        <w:t xml:space="preserve">TSMC's CoWoS (Chip-on-Wafer-on-Substrate) is the single most binding constraint on AI chip production. Capacity reached ~75,000 wafers/month in 2025 and is expanding ~30% into 2026, but remains sold out through mid-2026. ASE and Amkor are secondary winners as TSMC outsources sub-steps. Without CoWoS, a Blackwell GPU is "just a collection of dies" — the interposer integration with HBM stacks is what makes the product a product.</w:t>
      </w:r>
    </w:p>
    <w:p>
      <w:pPr>
        <w:spacing w:after="60" w:before="60" w:line="300"/>
        <w:jc w:val="both"/>
      </w:pPr>
      <w:r>
        <w:rPr>
          <w:rFonts w:ascii="Calibri" w:cs="Calibri" w:eastAsia="Calibri" w:hAnsi="Calibri"/>
          <w:b/>
          <w:bCs/>
          <w:i w:val="false"/>
          <w:iCs w:val="false"/>
          <w:color w:val="000000"/>
          <w:sz w:val="22"/>
          <w:szCs w:val="22"/>
        </w:rPr>
        <w:t xml:space="preserve">2. HBM memory allocation. </w:t>
      </w:r>
      <w:r>
        <w:rPr>
          <w:rFonts w:ascii="Calibri" w:cs="Calibri" w:eastAsia="Calibri" w:hAnsi="Calibri"/>
          <w:b w:val="false"/>
          <w:bCs w:val="false"/>
          <w:i w:val="false"/>
          <w:iCs w:val="false"/>
          <w:color w:val="000000"/>
          <w:sz w:val="22"/>
          <w:szCs w:val="22"/>
        </w:rPr>
        <w:t xml:space="preserve">SK Hynix dominates with ~62% market share and supplies ~90% of NVDA's HBM. Entire 2026 HBM capacity is allocated. HBM revenue share of total DRAM is expected to exceed 30% in 2026 despite representing only 8% of bit output. HBM4 enters production in 2026 with 2.8 TB/s bandwidth. Micron (MU) is ramping HBM4 for volume in 2026 and represents the most attractive pure-play HBM equity.</w:t>
      </w:r>
    </w:p>
    <w:p>
      <w:pPr>
        <w:spacing w:after="60" w:before="60" w:line="300"/>
        <w:jc w:val="both"/>
      </w:pPr>
      <w:r>
        <w:rPr>
          <w:rFonts w:ascii="Calibri" w:cs="Calibri" w:eastAsia="Calibri" w:hAnsi="Calibri"/>
          <w:b/>
          <w:bCs/>
          <w:i w:val="false"/>
          <w:iCs w:val="false"/>
          <w:color w:val="000000"/>
          <w:sz w:val="22"/>
          <w:szCs w:val="22"/>
        </w:rPr>
        <w:t xml:space="preserve">3. ASML High-NA EUV. </w:t>
      </w:r>
      <w:r>
        <w:rPr>
          <w:rFonts w:ascii="Calibri" w:cs="Calibri" w:eastAsia="Calibri" w:hAnsi="Calibri"/>
          <w:b w:val="false"/>
          <w:bCs w:val="false"/>
          <w:i w:val="false"/>
          <w:iCs w:val="false"/>
          <w:color w:val="000000"/>
          <w:sz w:val="22"/>
          <w:szCs w:val="22"/>
        </w:rPr>
        <w:t xml:space="preserve">ASML holds a monopoly on the High-NA EUV machines required for Intel 18A and the 1.4nm logic nodes ramping beyond 2026. At ~$380M per machine (vs. ~$180–200M for standard EUV), each High-NA installation drives outsized revenue. ASML's customer concentration is the primary risk — TSMC alone is ~50% of leading-edge capex.</w:t>
      </w:r>
    </w:p>
    <w:p>
      <w:pPr>
        <w:pStyle w:val="Heading2"/>
        <w:spacing w:after="120" w:before="240"/>
      </w:pPr>
      <w:r>
        <w:rPr>
          <w:rFonts w:ascii="Calibri" w:cs="Calibri" w:eastAsia="Calibri" w:hAnsi="Calibri"/>
          <w:b/>
          <w:bCs/>
          <w:color w:val="0A2A5E"/>
          <w:sz w:val="26"/>
          <w:szCs w:val="26"/>
        </w:rPr>
        <w:t xml:space="preserve">6.3 Recommended Supply Chain Exposure Portfolio</w:t>
      </w:r>
    </w:p>
    <w:p>
      <w:pPr>
        <w:spacing w:after="60" w:before="60" w:line="300"/>
        <w:jc w:val="both"/>
      </w:pPr>
      <w:r>
        <w:rPr>
          <w:rFonts w:ascii="Calibri" w:cs="Calibri" w:eastAsia="Calibri" w:hAnsi="Calibri"/>
          <w:b w:val="false"/>
          <w:bCs w:val="false"/>
          <w:i w:val="false"/>
          <w:iCs w:val="false"/>
          <w:color w:val="000000"/>
          <w:sz w:val="22"/>
          <w:szCs w:val="22"/>
        </w:rPr>
        <w:t xml:space="preserve">For a diversified AI picks-and-shovels portfolio, our coverage ranking is:</w:t>
      </w:r>
    </w:p>
    <w:p>
      <w:pPr>
        <w:pStyle w:val="ListParagraph"/>
        <w:numPr>
          <w:ilvl w:val="0"/>
          <w:numId w:val="2"/>
        </w:numPr>
        <w:spacing w:after="40" w:before="40" w:line="280"/>
      </w:pPr>
      <w:r>
        <w:rPr>
          <w:rFonts w:ascii="Calibri" w:cs="Calibri" w:eastAsia="Calibri" w:hAnsi="Calibri"/>
          <w:b/>
          <w:bCs/>
          <w:i w:val="false"/>
          <w:iCs w:val="false"/>
          <w:sz w:val="22"/>
          <w:szCs w:val="22"/>
        </w:rPr>
        <w:t xml:space="preserve">Overweight: </w:t>
      </w:r>
      <w:r>
        <w:rPr>
          <w:rFonts w:ascii="Calibri" w:cs="Calibri" w:eastAsia="Calibri" w:hAnsi="Calibri"/>
          <w:b w:val="false"/>
          <w:bCs w:val="false"/>
          <w:i w:val="false"/>
          <w:iCs w:val="false"/>
          <w:sz w:val="22"/>
          <w:szCs w:val="22"/>
        </w:rPr>
        <w:t xml:space="preserve">NVDA (category leader), TSM (foundry monopoly at leading edge), ASML (lithography monopoly), SK Hynix (005930.KS — HBM share leader).</w:t>
      </w:r>
    </w:p>
    <w:p>
      <w:pPr>
        <w:pStyle w:val="ListParagraph"/>
        <w:numPr>
          <w:ilvl w:val="0"/>
          <w:numId w:val="2"/>
        </w:numPr>
        <w:spacing w:after="40" w:before="40" w:line="280"/>
      </w:pPr>
      <w:r>
        <w:rPr>
          <w:rFonts w:ascii="Calibri" w:cs="Calibri" w:eastAsia="Calibri" w:hAnsi="Calibri"/>
          <w:b/>
          <w:bCs/>
          <w:i w:val="false"/>
          <w:iCs w:val="false"/>
          <w:sz w:val="22"/>
          <w:szCs w:val="22"/>
        </w:rPr>
        <w:t xml:space="preserve">Overweight Secondary: </w:t>
      </w:r>
      <w:r>
        <w:rPr>
          <w:rFonts w:ascii="Calibri" w:cs="Calibri" w:eastAsia="Calibri" w:hAnsi="Calibri"/>
          <w:b w:val="false"/>
          <w:bCs w:val="false"/>
          <w:i w:val="false"/>
          <w:iCs w:val="false"/>
          <w:sz w:val="22"/>
          <w:szCs w:val="22"/>
        </w:rPr>
        <w:t xml:space="preserve">AVGO (custom ASIC franchise, TPU co-design with Google), MU (HBM4 ramp catalyst), ACMR/Onto (metrology and inspection).</w:t>
      </w:r>
    </w:p>
    <w:p>
      <w:pPr>
        <w:pStyle w:val="ListParagraph"/>
        <w:numPr>
          <w:ilvl w:val="0"/>
          <w:numId w:val="2"/>
        </w:numPr>
        <w:spacing w:after="40" w:before="40" w:line="280"/>
      </w:pPr>
      <w:r>
        <w:rPr>
          <w:rFonts w:ascii="Calibri" w:cs="Calibri" w:eastAsia="Calibri" w:hAnsi="Calibri"/>
          <w:b/>
          <w:bCs/>
          <w:i w:val="false"/>
          <w:iCs w:val="false"/>
          <w:sz w:val="22"/>
          <w:szCs w:val="22"/>
        </w:rPr>
        <w:t xml:space="preserve">Market Weight: </w:t>
      </w:r>
      <w:r>
        <w:rPr>
          <w:rFonts w:ascii="Calibri" w:cs="Calibri" w:eastAsia="Calibri" w:hAnsi="Calibri"/>
          <w:b w:val="false"/>
          <w:bCs w:val="false"/>
          <w:i w:val="false"/>
          <w:iCs w:val="false"/>
          <w:sz w:val="22"/>
          <w:szCs w:val="22"/>
        </w:rPr>
        <w:t xml:space="preserve">AMD (Instinct MI-series gaining share but distant #2), AMAT / LRCX (equipment cyclicality), Dell (DELL) / SMCI (server OEM cycle exposure).</w:t>
      </w:r>
    </w:p>
    <w:p>
      <w:pPr>
        <w:pStyle w:val="ListParagraph"/>
        <w:numPr>
          <w:ilvl w:val="0"/>
          <w:numId w:val="2"/>
        </w:numPr>
        <w:spacing w:after="40" w:before="40" w:line="280"/>
      </w:pPr>
      <w:r>
        <w:rPr>
          <w:rFonts w:ascii="Calibri" w:cs="Calibri" w:eastAsia="Calibri" w:hAnsi="Calibri"/>
          <w:b/>
          <w:bCs/>
          <w:i w:val="false"/>
          <w:iCs w:val="false"/>
          <w:sz w:val="22"/>
          <w:szCs w:val="22"/>
        </w:rPr>
        <w:t xml:space="preserve">Tactical: </w:t>
      </w:r>
      <w:r>
        <w:rPr>
          <w:rFonts w:ascii="Calibri" w:cs="Calibri" w:eastAsia="Calibri" w:hAnsi="Calibri"/>
          <w:b w:val="false"/>
          <w:bCs w:val="false"/>
          <w:i w:val="false"/>
          <w:iCs w:val="false"/>
          <w:sz w:val="22"/>
          <w:szCs w:val="22"/>
        </w:rPr>
        <w:t xml:space="preserve">Constellation (CEG), Vistra (VST), NextEra (NEE) for the power angle; OKLO, NNE for SMR optionality (speculative).</w:t>
      </w:r>
    </w:p>
    <w:p>
      <w:r>
        <w:br w:type="page"/>
      </w:r>
    </w:p>
    <w:p>
      <w:pPr>
        <w:pStyle w:val="Heading1"/>
        <w:spacing w:after="180" w:before="360"/>
      </w:pPr>
      <w:r>
        <w:rPr>
          <w:rFonts w:ascii="Calibri" w:cs="Calibri" w:eastAsia="Calibri" w:hAnsi="Calibri"/>
          <w:b/>
          <w:bCs/>
          <w:color w:val="0A2A5E"/>
          <w:sz w:val="32"/>
          <w:szCs w:val="32"/>
        </w:rPr>
        <w:t xml:space="preserve">7. Headwinds and Tailwinds</w:t>
      </w:r>
    </w:p>
    <w:p>
      <w:pPr>
        <w:pStyle w:val="Heading2"/>
        <w:spacing w:after="120" w:before="240"/>
      </w:pPr>
      <w:r>
        <w:rPr>
          <w:rFonts w:ascii="Calibri" w:cs="Calibri" w:eastAsia="Calibri" w:hAnsi="Calibri"/>
          <w:b/>
          <w:bCs/>
          <w:color w:val="0A2A5E"/>
          <w:sz w:val="26"/>
          <w:szCs w:val="26"/>
        </w:rPr>
        <w:t xml:space="preserve">7.1 Shared Industry Dynamics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0A2A5E"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TAILWINDS (Both Sides)</w:t>
            </w:r>
          </w:p>
        </w:tc>
        <w:tc>
          <w:tcPr>
            <w:tcW w:type="dxa" w:w="4680"/>
            <w:tcBorders>
              <w:top w:val="single" w:color="CCCCCC" w:sz="4"/>
              <w:left w:val="single" w:color="CCCCCC" w:sz="4"/>
              <w:bottom w:val="single" w:color="CCCCCC" w:sz="4"/>
              <w:right w:val="single" w:color="CCCCCC" w:sz="4"/>
            </w:tcBorders>
            <w:shd w:fill="0A2A5E"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HEADWINDS (Both Sides)</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Enterprise adoption accelerating: Agentic AI moving from pilots to production in 2026; MCP standard crossed 97M installs in March</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Energy constraint: PJM projects 6GW reliability shortfall by 2027; data center demand could hit 945 TWh globally by 2030 (IEA base case)</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Capital availability: Q1 2026 saw record $188B in AI mega-deals (OpenAI, Anthropic, xAI, Waymo) = 65% of global VC</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Regulatory friction: 27 U.S. states considering "large load" legislation; CA, OH, UT enacted; NY/MD proposing moratoriums</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Capability gains sustaining: GDPval, SWE-bench, AIME, GPQA all setting new records nearly monthly</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Bubble concerns: New DC deals fell &gt;40% Q3→Q4 2025; only ~1/3 of announced 240GW pipeline actually being built; $500B Stargate stalled</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Revenue proof points: OpenAI $25B+ ARR, Anthropic $30B ARR, both growing 200%+ YoY</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Copyright and litigation exposure: Ongoing NYT vs. OpenAI, multiple class actions; EU AI Act enforcement commencing</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Cost deflation on inference: DeepSeek V3.2 delivers ~90% of GPT-5.4 quality at ~1/50th price</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Gross margin pressure: Commoditization of base intelligence layer; inference cost growth outpacing training cost declines</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Infrastructure cycle at full tilt: Alphabet $185B 2026 capex; NVDA $250B supply chain commitments</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Talent war: Frontier researcher comp now regularly in 8-figures; retention costs inflating opex</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IPO pipeline thawing: SpaceX/xAI, OpenAI, Anthropic all telegraphing 2026–27 public listings</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Geopolitical decoupling: U.S.-China export controls; Huawei Ascend 950PR enabling Chinese open-weight independence</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Software sector TAM transfer: ~$2T in software mkt cap has rerated; value moving to model + compute layers</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40" w:before="40" w:line="260"/>
              <w:jc w:val="left"/>
            </w:pPr>
            <w:r>
              <w:rPr>
                <w:rFonts w:ascii="Calibri" w:cs="Calibri" w:eastAsia="Calibri" w:hAnsi="Calibri"/>
                <w:b w:val="false"/>
                <w:bCs w:val="false"/>
                <w:color w:val="000000"/>
                <w:sz w:val="20"/>
                <w:szCs w:val="20"/>
              </w:rPr>
              <w:t xml:space="preserve">Float scarcity risk: SpaceX, OpenAI, Anthropic combined ~$3T; floats of 3–8% could drive extreme post-IPO volatility</w:t>
            </w:r>
          </w:p>
        </w:tc>
      </w:tr>
    </w:tbl>
    <w:p>
      <w:pPr>
        <w:spacing w:after="60" w:before="60"/>
      </w:pPr>
      <w:r>
        <w:rPr>
          <w:sz w:val="20"/>
          <w:szCs w:val="20"/>
        </w:rPr>
        <w:t xml:space="preserve"/>
      </w:r>
    </w:p>
    <w:p>
      <w:pPr>
        <w:pStyle w:val="Heading2"/>
        <w:spacing w:after="120" w:before="240"/>
      </w:pPr>
      <w:r>
        <w:rPr>
          <w:rFonts w:ascii="Calibri" w:cs="Calibri" w:eastAsia="Calibri" w:hAnsi="Calibri"/>
          <w:b/>
          <w:bCs/>
          <w:color w:val="0A2A5E"/>
          <w:sz w:val="26"/>
          <w:szCs w:val="26"/>
        </w:rPr>
        <w:t xml:space="preserve">7.2 Closed-Weight Specific Dynamics</w:t>
      </w:r>
    </w:p>
    <w:p>
      <w:pPr>
        <w:spacing w:after="60" w:before="60" w:line="300"/>
        <w:jc w:val="both"/>
      </w:pPr>
      <w:r>
        <w:rPr>
          <w:rFonts w:ascii="Calibri" w:cs="Calibri" w:eastAsia="Calibri" w:hAnsi="Calibri"/>
          <w:b/>
          <w:bCs/>
          <w:i w:val="false"/>
          <w:iCs w:val="false"/>
          <w:color w:val="000000"/>
          <w:sz w:val="22"/>
          <w:szCs w:val="22"/>
        </w:rPr>
        <w:t xml:space="preserve">Tailwinds unique to closed-weight labs: </w:t>
      </w:r>
      <w:r>
        <w:rPr>
          <w:rFonts w:ascii="Calibri" w:cs="Calibri" w:eastAsia="Calibri" w:hAnsi="Calibri"/>
          <w:b w:val="false"/>
          <w:bCs w:val="false"/>
          <w:i w:val="false"/>
          <w:iCs w:val="false"/>
          <w:color w:val="000000"/>
          <w:sz w:val="22"/>
          <w:szCs w:val="22"/>
        </w:rPr>
        <w:t xml:space="preserve">pricing power from capability leadership on frontier benchmarks (GPT-5.4, Claude Opus 4.6, Gemini 3.1 Pro continue to lead open models by 5–10 percentage points on hardest benchmarks); deep enterprise distribution partnerships (MSFT/OpenAI integration, AWS/Anthropic Bedrock, GOOGL/Anthropic via Vertex); proprietary RLHF/safety data that open-weight labs cannot replicate; and agentic reliability — closed labs have invested disproportionately in the alignment and tool-use robustness required for production agentic deployment.</w:t>
      </w:r>
    </w:p>
    <w:p>
      <w:pPr>
        <w:spacing w:after="60" w:before="60" w:line="300"/>
        <w:jc w:val="both"/>
      </w:pPr>
      <w:r>
        <w:rPr>
          <w:rFonts w:ascii="Calibri" w:cs="Calibri" w:eastAsia="Calibri" w:hAnsi="Calibri"/>
          <w:b/>
          <w:bCs/>
          <w:i w:val="false"/>
          <w:iCs w:val="false"/>
          <w:color w:val="000000"/>
          <w:sz w:val="22"/>
          <w:szCs w:val="22"/>
        </w:rPr>
        <w:t xml:space="preserve">Headwinds unique to closed-weight labs: </w:t>
      </w:r>
      <w:r>
        <w:rPr>
          <w:rFonts w:ascii="Calibri" w:cs="Calibri" w:eastAsia="Calibri" w:hAnsi="Calibri"/>
          <w:b w:val="false"/>
          <w:bCs w:val="false"/>
          <w:i w:val="false"/>
          <w:iCs w:val="false"/>
          <w:color w:val="000000"/>
          <w:sz w:val="22"/>
          <w:szCs w:val="22"/>
        </w:rPr>
        <w:t xml:space="preserve">extraordinary capital burn (Anthropic estimated $12B training + $7B inference costs in 2026; OpenAI not expected to reach breakeven until 2030); customer concentration risk (Microsoft is ~50% of OpenAI revenue through Azure integration); model-layer commoditization driving API pricing pressure as customers benchmark against open alternatives; and governance/safety obligations that open-weight labs can sidestep (see Anthropic withholding Mythos 5).</w:t>
      </w:r>
    </w:p>
    <w:p>
      <w:pPr>
        <w:pStyle w:val="Heading2"/>
        <w:spacing w:after="120" w:before="240"/>
      </w:pPr>
      <w:r>
        <w:rPr>
          <w:rFonts w:ascii="Calibri" w:cs="Calibri" w:eastAsia="Calibri" w:hAnsi="Calibri"/>
          <w:b/>
          <w:bCs/>
          <w:color w:val="0A2A5E"/>
          <w:sz w:val="26"/>
          <w:szCs w:val="26"/>
        </w:rPr>
        <w:t xml:space="preserve">7.3 Open-Weight Specific Dynamics</w:t>
      </w:r>
    </w:p>
    <w:p>
      <w:pPr>
        <w:spacing w:after="60" w:before="60" w:line="300"/>
        <w:jc w:val="both"/>
      </w:pPr>
      <w:r>
        <w:rPr>
          <w:rFonts w:ascii="Calibri" w:cs="Calibri" w:eastAsia="Calibri" w:hAnsi="Calibri"/>
          <w:b/>
          <w:bCs/>
          <w:i w:val="false"/>
          <w:iCs w:val="false"/>
          <w:color w:val="000000"/>
          <w:sz w:val="22"/>
          <w:szCs w:val="22"/>
        </w:rPr>
        <w:t xml:space="preserve">Tailwinds unique to open-weight developers: </w:t>
      </w:r>
      <w:r>
        <w:rPr>
          <w:rFonts w:ascii="Calibri" w:cs="Calibri" w:eastAsia="Calibri" w:hAnsi="Calibri"/>
          <w:b w:val="false"/>
          <w:bCs w:val="false"/>
          <w:i w:val="false"/>
          <w:iCs w:val="false"/>
          <w:color w:val="000000"/>
          <w:sz w:val="22"/>
          <w:szCs w:val="22"/>
        </w:rPr>
        <w:t xml:space="preserve">structural cost advantage at the inference layer; expanding moat via developer ecosystem (Hugging Face remains the gravitational center); GDPR/data-residency compliance advantages for European enterprises; decoupling from U.S. export controls (Chinese labs specifically); and accretive dynamics for parent-company adjacent businesses (Meta ads, Alibaba Cloud, NVDA silicon).</w:t>
      </w:r>
    </w:p>
    <w:p>
      <w:pPr>
        <w:spacing w:after="60" w:before="60" w:line="300"/>
        <w:jc w:val="both"/>
      </w:pPr>
      <w:r>
        <w:rPr>
          <w:rFonts w:ascii="Calibri" w:cs="Calibri" w:eastAsia="Calibri" w:hAnsi="Calibri"/>
          <w:b/>
          <w:bCs/>
          <w:i w:val="false"/>
          <w:iCs w:val="false"/>
          <w:color w:val="000000"/>
          <w:sz w:val="22"/>
          <w:szCs w:val="22"/>
        </w:rPr>
        <w:t xml:space="preserve">Headwinds unique to open-weight developers: </w:t>
      </w:r>
      <w:r>
        <w:rPr>
          <w:rFonts w:ascii="Calibri" w:cs="Calibri" w:eastAsia="Calibri" w:hAnsi="Calibri"/>
          <w:b w:val="false"/>
          <w:bCs w:val="false"/>
          <w:i w:val="false"/>
          <w:iCs w:val="false"/>
          <w:color w:val="000000"/>
          <w:sz w:val="22"/>
          <w:szCs w:val="22"/>
        </w:rPr>
        <w:t xml:space="preserve">free-rider economics (others monetize the capability you fund); lack of direct licensing revenue complicates ROI measurement and shareholder narrative; potential for security/misuse liabilities without gating; license restrictions (Meta's 700M MAU cap) that limit true commercial openness; and rising compute intensity at the frontier that may price smaller open-weight labs out of capability competition.</w:t>
      </w:r>
    </w:p>
    <w:p>
      <w:r>
        <w:br w:type="page"/>
      </w:r>
    </w:p>
    <w:p>
      <w:pPr>
        <w:pStyle w:val="Heading1"/>
        <w:spacing w:after="180" w:before="360"/>
      </w:pPr>
      <w:r>
        <w:rPr>
          <w:rFonts w:ascii="Calibri" w:cs="Calibri" w:eastAsia="Calibri" w:hAnsi="Calibri"/>
          <w:b/>
          <w:bCs/>
          <w:color w:val="0A2A5E"/>
          <w:sz w:val="32"/>
          <w:szCs w:val="32"/>
        </w:rPr>
        <w:t xml:space="preserve">8. Recent Catalysts and News Developments</w:t>
      </w:r>
    </w:p>
    <w:p>
      <w:pPr>
        <w:spacing w:after="60" w:before="60" w:line="300"/>
        <w:jc w:val="both"/>
      </w:pPr>
      <w:r>
        <w:rPr>
          <w:rFonts w:ascii="Calibri" w:cs="Calibri" w:eastAsia="Calibri" w:hAnsi="Calibri"/>
          <w:b w:val="false"/>
          <w:bCs w:val="false"/>
          <w:i w:val="false"/>
          <w:iCs w:val="false"/>
          <w:color w:val="000000"/>
          <w:sz w:val="22"/>
          <w:szCs w:val="22"/>
        </w:rPr>
        <w:t xml:space="preserve">The past 90 days have been the most catalyst-dense period in AI coverage history. Below we summarize the most material developments for each camp.</w:t>
      </w:r>
    </w:p>
    <w:p>
      <w:pPr>
        <w:pStyle w:val="Heading2"/>
        <w:spacing w:after="120" w:before="240"/>
      </w:pPr>
      <w:r>
        <w:rPr>
          <w:rFonts w:ascii="Calibri" w:cs="Calibri" w:eastAsia="Calibri" w:hAnsi="Calibri"/>
          <w:b/>
          <w:bCs/>
          <w:color w:val="0A2A5E"/>
          <w:sz w:val="26"/>
          <w:szCs w:val="26"/>
        </w:rPr>
        <w:t xml:space="preserve">8.1 Closed-Weight Side Catalysts</w:t>
      </w:r>
    </w:p>
    <w:p>
      <w:pPr>
        <w:pStyle w:val="ListParagraph"/>
        <w:numPr>
          <w:ilvl w:val="0"/>
          <w:numId w:val="2"/>
        </w:numPr>
        <w:spacing w:after="40" w:before="40" w:line="280"/>
      </w:pPr>
      <w:r>
        <w:rPr>
          <w:rFonts w:ascii="Calibri" w:cs="Calibri" w:eastAsia="Calibri" w:hAnsi="Calibri"/>
          <w:b/>
          <w:bCs/>
          <w:i w:val="false"/>
          <w:iCs w:val="false"/>
          <w:sz w:val="22"/>
          <w:szCs w:val="22"/>
        </w:rPr>
        <w:t xml:space="preserve">OpenAI closes record $122B round at $852B valuation (March 31, 2026). </w:t>
      </w:r>
      <w:r>
        <w:rPr>
          <w:rFonts w:ascii="Calibri" w:cs="Calibri" w:eastAsia="Calibri" w:hAnsi="Calibri"/>
          <w:b w:val="false"/>
          <w:bCs w:val="false"/>
          <w:i w:val="false"/>
          <w:iCs w:val="false"/>
          <w:sz w:val="22"/>
          <w:szCs w:val="22"/>
        </w:rPr>
        <w:t xml:space="preserve">Up from $110B initially announced. SoftBank co-led; round includes a16z and D.E. Shaw. Pulls forward IPO into late-2026. Infrastructure allocation: 3GW NVDA inference + 2GW NVDA Vera Rubin training + 2GW AWS Trainium.</w:t>
      </w:r>
    </w:p>
    <w:p>
      <w:pPr>
        <w:pStyle w:val="ListParagraph"/>
        <w:numPr>
          <w:ilvl w:val="0"/>
          <w:numId w:val="2"/>
        </w:numPr>
        <w:spacing w:after="40" w:before="40" w:line="280"/>
      </w:pPr>
      <w:r>
        <w:rPr>
          <w:rFonts w:ascii="Calibri" w:cs="Calibri" w:eastAsia="Calibri" w:hAnsi="Calibri"/>
          <w:b/>
          <w:bCs/>
          <w:i w:val="false"/>
          <w:iCs w:val="false"/>
          <w:sz w:val="22"/>
          <w:szCs w:val="22"/>
        </w:rPr>
        <w:t xml:space="preserve">Anthropic $30B Series G at $380B (February 12, 2026). </w:t>
      </w:r>
      <w:r>
        <w:rPr>
          <w:rFonts w:ascii="Calibri" w:cs="Calibri" w:eastAsia="Calibri" w:hAnsi="Calibri"/>
          <w:b w:val="false"/>
          <w:bCs w:val="false"/>
          <w:i w:val="false"/>
          <w:iCs w:val="false"/>
          <w:sz w:val="22"/>
          <w:szCs w:val="22"/>
        </w:rPr>
        <w:t xml:space="preserve">Led by GIC and Coatue, co-led by D.E. Shaw Ventures, Dragoneer, Founders Fund, ICONIQ, MGX. Included portions of previously announced $5B MSFT and $10B NVDA commitments. Secondary markets have since marked the company as high as $1T with VCs offering preemptive $800B+ rounds that Anthropic has declined.</w:t>
      </w:r>
    </w:p>
    <w:p>
      <w:pPr>
        <w:pStyle w:val="ListParagraph"/>
        <w:numPr>
          <w:ilvl w:val="0"/>
          <w:numId w:val="2"/>
        </w:numPr>
        <w:spacing w:after="40" w:before="40" w:line="280"/>
      </w:pPr>
      <w:r>
        <w:rPr>
          <w:rFonts w:ascii="Calibri" w:cs="Calibri" w:eastAsia="Calibri" w:hAnsi="Calibri"/>
          <w:b/>
          <w:bCs/>
          <w:i w:val="false"/>
          <w:iCs w:val="false"/>
          <w:sz w:val="22"/>
          <w:szCs w:val="22"/>
        </w:rPr>
        <w:t xml:space="preserve">Anthropic Mythos 5 restricted release (April 2026). </w:t>
      </w:r>
      <w:r>
        <w:rPr>
          <w:rFonts w:ascii="Calibri" w:cs="Calibri" w:eastAsia="Calibri" w:hAnsi="Calibri"/>
          <w:b w:val="false"/>
          <w:bCs w:val="false"/>
          <w:i w:val="false"/>
          <w:iCs w:val="false"/>
          <w:sz w:val="22"/>
          <w:szCs w:val="22"/>
        </w:rPr>
        <w:t xml:space="preserve">First frontier model publicly withheld for capability reasons — limited to ~50 organizations under Project Glasswing. Scores 93.9% SWE-bench Verified and 94.6% GPQA Diamond. Sets governance precedent for future deployments.</w:t>
      </w:r>
    </w:p>
    <w:p>
      <w:pPr>
        <w:pStyle w:val="ListParagraph"/>
        <w:numPr>
          <w:ilvl w:val="0"/>
          <w:numId w:val="2"/>
        </w:numPr>
        <w:spacing w:after="40" w:before="40" w:line="280"/>
      </w:pPr>
      <w:r>
        <w:rPr>
          <w:rFonts w:ascii="Calibri" w:cs="Calibri" w:eastAsia="Calibri" w:hAnsi="Calibri"/>
          <w:b/>
          <w:bCs/>
          <w:i w:val="false"/>
          <w:iCs w:val="false"/>
          <w:sz w:val="22"/>
          <w:szCs w:val="22"/>
        </w:rPr>
        <w:t xml:space="preserve">GPT-5.4 release (March 5, 2026). </w:t>
      </w:r>
      <w:r>
        <w:rPr>
          <w:rFonts w:ascii="Calibri" w:cs="Calibri" w:eastAsia="Calibri" w:hAnsi="Calibri"/>
          <w:b w:val="false"/>
          <w:bCs w:val="false"/>
          <w:i w:val="false"/>
          <w:iCs w:val="false"/>
          <w:sz w:val="22"/>
          <w:szCs w:val="22"/>
        </w:rPr>
        <w:t xml:space="preserve">Single-model architecture leading across coding, computer-use, reasoning, and knowledge work. Record 83% on GDPval benchmark spanning 44 real-world occupations.</w:t>
      </w:r>
    </w:p>
    <w:p>
      <w:pPr>
        <w:pStyle w:val="ListParagraph"/>
        <w:numPr>
          <w:ilvl w:val="0"/>
          <w:numId w:val="2"/>
        </w:numPr>
        <w:spacing w:after="40" w:before="40" w:line="280"/>
      </w:pPr>
      <w:r>
        <w:rPr>
          <w:rFonts w:ascii="Calibri" w:cs="Calibri" w:eastAsia="Calibri" w:hAnsi="Calibri"/>
          <w:b/>
          <w:bCs/>
          <w:i w:val="false"/>
          <w:iCs w:val="false"/>
          <w:sz w:val="22"/>
          <w:szCs w:val="22"/>
        </w:rPr>
        <w:t xml:space="preserve">Anthropic multi-GW TPU commitment through Broadcom/Alphabet (April 2026). </w:t>
      </w:r>
      <w:r>
        <w:rPr>
          <w:rFonts w:ascii="Calibri" w:cs="Calibri" w:eastAsia="Calibri" w:hAnsi="Calibri"/>
          <w:b w:val="false"/>
          <w:bCs w:val="false"/>
          <w:i w:val="false"/>
          <w:iCs w:val="false"/>
          <w:sz w:val="22"/>
          <w:szCs w:val="22"/>
        </w:rPr>
        <w:t xml:space="preserve">Beginning 2027, Anthropic will run multiple GW of next-gen TPU capacity. Alongside separate 5GW AWS deal, confirms Anthropic's multi-cloud diversification strategy. Positive read-across for AVGO (custom ASIC business targeting $100B by 2027) and GOOGL (Cloud revenue recognition).</w:t>
      </w:r>
    </w:p>
    <w:p>
      <w:pPr>
        <w:pStyle w:val="ListParagraph"/>
        <w:numPr>
          <w:ilvl w:val="0"/>
          <w:numId w:val="2"/>
        </w:numPr>
        <w:spacing w:after="40" w:before="40" w:line="280"/>
      </w:pPr>
      <w:r>
        <w:rPr>
          <w:rFonts w:ascii="Calibri" w:cs="Calibri" w:eastAsia="Calibri" w:hAnsi="Calibri"/>
          <w:b/>
          <w:bCs/>
          <w:i w:val="false"/>
          <w:iCs w:val="false"/>
          <w:sz w:val="22"/>
          <w:szCs w:val="22"/>
        </w:rPr>
        <w:t xml:space="preserve">Google announces 2 new TPU chips (April 22, 2026). </w:t>
      </w:r>
      <w:r>
        <w:rPr>
          <w:rFonts w:ascii="Calibri" w:cs="Calibri" w:eastAsia="Calibri" w:hAnsi="Calibri"/>
          <w:b w:val="false"/>
          <w:bCs w:val="false"/>
          <w:i w:val="false"/>
          <w:iCs w:val="false"/>
          <w:sz w:val="22"/>
          <w:szCs w:val="22"/>
        </w:rPr>
        <w:t xml:space="preserve">Latest generation TPUs directly targeting NVDA training/inference lock-in. Combined with Gemini 3.1 Pro leadership on GPQA Diamond (94.3%), signals Alphabet's vertical integration is maturing.</w:t>
      </w:r>
    </w:p>
    <w:p>
      <w:pPr>
        <w:pStyle w:val="ListParagraph"/>
        <w:numPr>
          <w:ilvl w:val="0"/>
          <w:numId w:val="2"/>
        </w:numPr>
        <w:spacing w:after="40" w:before="40" w:line="280"/>
      </w:pPr>
      <w:r>
        <w:rPr>
          <w:rFonts w:ascii="Calibri" w:cs="Calibri" w:eastAsia="Calibri" w:hAnsi="Calibri"/>
          <w:b/>
          <w:bCs/>
          <w:i w:val="false"/>
          <w:iCs w:val="false"/>
          <w:sz w:val="22"/>
          <w:szCs w:val="22"/>
        </w:rPr>
        <w:t xml:space="preserve">SpaceX + xAI merger (February 2026). </w:t>
      </w:r>
      <w:r>
        <w:rPr>
          <w:rFonts w:ascii="Calibri" w:cs="Calibri" w:eastAsia="Calibri" w:hAnsi="Calibri"/>
          <w:b w:val="false"/>
          <w:bCs w:val="false"/>
          <w:i w:val="false"/>
          <w:iCs w:val="false"/>
          <w:sz w:val="22"/>
          <w:szCs w:val="22"/>
        </w:rPr>
        <w:t xml:space="preserve">Combined entity targeting IPO at $1.5–1.75T valuation — potentially the largest IPO in history. Brings xAI's Grok into a vertically integrated stack with Starlink distribution.</w:t>
      </w:r>
    </w:p>
    <w:p>
      <w:pPr>
        <w:pStyle w:val="ListParagraph"/>
        <w:numPr>
          <w:ilvl w:val="0"/>
          <w:numId w:val="2"/>
        </w:numPr>
        <w:spacing w:after="40" w:before="40" w:line="280"/>
      </w:pPr>
      <w:r>
        <w:rPr>
          <w:rFonts w:ascii="Calibri" w:cs="Calibri" w:eastAsia="Calibri" w:hAnsi="Calibri"/>
          <w:b/>
          <w:bCs/>
          <w:i w:val="false"/>
          <w:iCs w:val="false"/>
          <w:sz w:val="22"/>
          <w:szCs w:val="22"/>
        </w:rPr>
        <w:t xml:space="preserve">Claude Cowork launch. </w:t>
      </w:r>
      <w:r>
        <w:rPr>
          <w:rFonts w:ascii="Calibri" w:cs="Calibri" w:eastAsia="Calibri" w:hAnsi="Calibri"/>
          <w:b w:val="false"/>
          <w:bCs w:val="false"/>
          <w:i w:val="false"/>
          <w:iCs w:val="false"/>
          <w:sz w:val="22"/>
          <w:szCs w:val="22"/>
        </w:rPr>
        <w:t xml:space="preserve">Anthropic's desktop productivity agent entered general availability. Reportedly contributing materially to Anthropic's enterprise dominance (80% enterprise mix per CEO Amodei).</w:t>
      </w:r>
    </w:p>
    <w:p>
      <w:pPr>
        <w:pStyle w:val="Heading2"/>
        <w:spacing w:after="120" w:before="240"/>
      </w:pPr>
      <w:r>
        <w:rPr>
          <w:rFonts w:ascii="Calibri" w:cs="Calibri" w:eastAsia="Calibri" w:hAnsi="Calibri"/>
          <w:b/>
          <w:bCs/>
          <w:color w:val="0A2A5E"/>
          <w:sz w:val="26"/>
          <w:szCs w:val="26"/>
        </w:rPr>
        <w:t xml:space="preserve">8.2 Open-Weight Side Catalysts</w:t>
      </w:r>
    </w:p>
    <w:p>
      <w:pPr>
        <w:pStyle w:val="ListParagraph"/>
        <w:numPr>
          <w:ilvl w:val="0"/>
          <w:numId w:val="2"/>
        </w:numPr>
        <w:spacing w:after="40" w:before="40" w:line="280"/>
      </w:pPr>
      <w:r>
        <w:rPr>
          <w:rFonts w:ascii="Calibri" w:cs="Calibri" w:eastAsia="Calibri" w:hAnsi="Calibri"/>
          <w:b/>
          <w:bCs/>
          <w:i w:val="false"/>
          <w:iCs w:val="false"/>
          <w:sz w:val="22"/>
          <w:szCs w:val="22"/>
        </w:rPr>
        <w:t xml:space="preserve">Zhipu GLM-5.1 released (April 7, 2026). </w:t>
      </w:r>
      <w:r>
        <w:rPr>
          <w:rFonts w:ascii="Calibri" w:cs="Calibri" w:eastAsia="Calibri" w:hAnsi="Calibri"/>
          <w:b w:val="false"/>
          <w:bCs w:val="false"/>
          <w:i w:val="false"/>
          <w:iCs w:val="false"/>
          <w:sz w:val="22"/>
          <w:szCs w:val="22"/>
        </w:rPr>
        <w:t xml:space="preserve">Tops BenchLM open-weight leaderboard. Can run autonomous agentic workloads for up to 8 hours in a single run. Integrates DeepSeek Sparse Attention for efficient long-context.</w:t>
      </w:r>
    </w:p>
    <w:p>
      <w:pPr>
        <w:pStyle w:val="ListParagraph"/>
        <w:numPr>
          <w:ilvl w:val="0"/>
          <w:numId w:val="2"/>
        </w:numPr>
        <w:spacing w:after="40" w:before="40" w:line="280"/>
      </w:pPr>
      <w:r>
        <w:rPr>
          <w:rFonts w:ascii="Calibri" w:cs="Calibri" w:eastAsia="Calibri" w:hAnsi="Calibri"/>
          <w:b/>
          <w:bCs/>
          <w:i w:val="false"/>
          <w:iCs w:val="false"/>
          <w:sz w:val="22"/>
          <w:szCs w:val="22"/>
        </w:rPr>
        <w:t xml:space="preserve">Alibaba Qwen 3.5 family (February 2026). </w:t>
      </w:r>
      <w:r>
        <w:rPr>
          <w:rFonts w:ascii="Calibri" w:cs="Calibri" w:eastAsia="Calibri" w:hAnsi="Calibri"/>
          <w:b w:val="false"/>
          <w:bCs w:val="false"/>
          <w:i w:val="false"/>
          <w:iCs w:val="false"/>
          <w:sz w:val="22"/>
          <w:szCs w:val="22"/>
        </w:rPr>
        <w:t xml:space="preserve">Hybrid Gated Delta Networks + sparse MoE architecture. Qwen3-Coder-480B-A35B sets SOTA among open models on agentic coding benchmarks. Qwen 3.5 397B ranks #1 in some open-weight evaluations.</w:t>
      </w:r>
    </w:p>
    <w:p>
      <w:pPr>
        <w:pStyle w:val="ListParagraph"/>
        <w:numPr>
          <w:ilvl w:val="0"/>
          <w:numId w:val="2"/>
        </w:numPr>
        <w:spacing w:after="40" w:before="40" w:line="280"/>
      </w:pPr>
      <w:r>
        <w:rPr>
          <w:rFonts w:ascii="Calibri" w:cs="Calibri" w:eastAsia="Calibri" w:hAnsi="Calibri"/>
          <w:b/>
          <w:bCs/>
          <w:i w:val="false"/>
          <w:iCs w:val="false"/>
          <w:sz w:val="22"/>
          <w:szCs w:val="22"/>
        </w:rPr>
        <w:t xml:space="preserve">DeepSeek V4 imminent launch (expected Q2 2026). </w:t>
      </w:r>
      <w:r>
        <w:rPr>
          <w:rFonts w:ascii="Calibri" w:cs="Calibri" w:eastAsia="Calibri" w:hAnsi="Calibri"/>
          <w:b w:val="false"/>
          <w:bCs w:val="false"/>
          <w:i w:val="false"/>
          <w:iCs w:val="false"/>
          <w:sz w:val="22"/>
          <w:szCs w:val="22"/>
        </w:rPr>
        <w:t xml:space="preserve">1T total parameters / 32B active, 1M token context, native multimodal. Reuters (April 3) confirmed "weeks away." Expected pricing: $0.14–$0.30 per million input tokens — roughly 10–20× below closed-weight frontier pricing. Will run on Huawei Ascend 950PR, demonstrating Chinese hardware independence.</w:t>
      </w:r>
    </w:p>
    <w:p>
      <w:pPr>
        <w:pStyle w:val="ListParagraph"/>
        <w:numPr>
          <w:ilvl w:val="0"/>
          <w:numId w:val="2"/>
        </w:numPr>
        <w:spacing w:after="40" w:before="40" w:line="280"/>
      </w:pPr>
      <w:r>
        <w:rPr>
          <w:rFonts w:ascii="Calibri" w:cs="Calibri" w:eastAsia="Calibri" w:hAnsi="Calibri"/>
          <w:b/>
          <w:bCs/>
          <w:i w:val="false"/>
          <w:iCs w:val="false"/>
          <w:sz w:val="22"/>
          <w:szCs w:val="22"/>
        </w:rPr>
        <w:t xml:space="preserve">Meta Muse Spark announcement (April 2026). </w:t>
      </w:r>
      <w:r>
        <w:rPr>
          <w:rFonts w:ascii="Calibri" w:cs="Calibri" w:eastAsia="Calibri" w:hAnsi="Calibri"/>
          <w:b w:val="false"/>
          <w:bCs w:val="false"/>
          <w:i w:val="false"/>
          <w:iCs w:val="false"/>
          <w:sz w:val="22"/>
          <w:szCs w:val="22"/>
        </w:rPr>
        <w:t xml:space="preserve">Meta announces Muse Spark as next-gen proprietary model, a subtle but important strategic pivot — Meta is bifurcating into closed-proprietary (Muse) and open-weight (Llama) tracks. This echoes Google's earlier Gemini / Gemma split.</w:t>
      </w:r>
    </w:p>
    <w:p>
      <w:pPr>
        <w:pStyle w:val="ListParagraph"/>
        <w:numPr>
          <w:ilvl w:val="0"/>
          <w:numId w:val="2"/>
        </w:numPr>
        <w:spacing w:after="40" w:before="40" w:line="280"/>
      </w:pPr>
      <w:r>
        <w:rPr>
          <w:rFonts w:ascii="Calibri" w:cs="Calibri" w:eastAsia="Calibri" w:hAnsi="Calibri"/>
          <w:b/>
          <w:bCs/>
          <w:i w:val="false"/>
          <w:iCs w:val="false"/>
          <w:sz w:val="22"/>
          <w:szCs w:val="22"/>
        </w:rPr>
        <w:t xml:space="preserve">Mistral Small 4 (March 3, 2026). </w:t>
      </w:r>
      <w:r>
        <w:rPr>
          <w:rFonts w:ascii="Calibri" w:cs="Calibri" w:eastAsia="Calibri" w:hAnsi="Calibri"/>
          <w:b w:val="false"/>
          <w:bCs w:val="false"/>
          <w:i w:val="false"/>
          <w:iCs w:val="false"/>
          <w:sz w:val="22"/>
          <w:szCs w:val="22"/>
        </w:rPr>
        <w:t xml:space="preserve">128-expert MoE unifying reasoning (Magistral), vision (Pixtral), and coding (Devstral) into a single Apache 2.0 endpoint. Outperforms OpenAI's GPT-OSS 120B on LiveCodeBench with 20% shorter responses.</w:t>
      </w:r>
    </w:p>
    <w:p>
      <w:pPr>
        <w:pStyle w:val="ListParagraph"/>
        <w:numPr>
          <w:ilvl w:val="0"/>
          <w:numId w:val="2"/>
        </w:numPr>
        <w:spacing w:after="40" w:before="40" w:line="280"/>
      </w:pPr>
      <w:r>
        <w:rPr>
          <w:rFonts w:ascii="Calibri" w:cs="Calibri" w:eastAsia="Calibri" w:hAnsi="Calibri"/>
          <w:b/>
          <w:bCs/>
          <w:i w:val="false"/>
          <w:iCs w:val="false"/>
          <w:sz w:val="22"/>
          <w:szCs w:val="22"/>
        </w:rPr>
        <w:t xml:space="preserve">Moonshot Kimi K2.6 release. </w:t>
      </w:r>
      <w:r>
        <w:rPr>
          <w:rFonts w:ascii="Calibri" w:cs="Calibri" w:eastAsia="Calibri" w:hAnsi="Calibri"/>
          <w:b w:val="false"/>
          <w:bCs w:val="false"/>
          <w:i w:val="false"/>
          <w:iCs w:val="false"/>
          <w:sz w:val="22"/>
          <w:szCs w:val="22"/>
        </w:rPr>
        <w:t xml:space="preserve">1 trillion parameters with 300 sub-agents, demonstrated 13-hour autonomous code refactoring. Serves as backend for Cursor's Composer 2.</w:t>
      </w:r>
    </w:p>
    <w:p>
      <w:pPr>
        <w:pStyle w:val="ListParagraph"/>
        <w:numPr>
          <w:ilvl w:val="0"/>
          <w:numId w:val="2"/>
        </w:numPr>
        <w:spacing w:after="40" w:before="40" w:line="280"/>
      </w:pPr>
      <w:r>
        <w:rPr>
          <w:rFonts w:ascii="Calibri" w:cs="Calibri" w:eastAsia="Calibri" w:hAnsi="Calibri"/>
          <w:b/>
          <w:bCs/>
          <w:i w:val="false"/>
          <w:iCs w:val="false"/>
          <w:sz w:val="22"/>
          <w:szCs w:val="22"/>
        </w:rPr>
        <w:t xml:space="preserve">Agentic AI Foundation under Linux Foundation (December 2025). </w:t>
      </w:r>
      <w:r>
        <w:rPr>
          <w:rFonts w:ascii="Calibri" w:cs="Calibri" w:eastAsia="Calibri" w:hAnsi="Calibri"/>
          <w:b w:val="false"/>
          <w:bCs w:val="false"/>
          <w:i w:val="false"/>
          <w:iCs w:val="false"/>
          <w:sz w:val="22"/>
          <w:szCs w:val="22"/>
        </w:rPr>
        <w:t xml:space="preserve">Anthropic donated MCP, OpenAI contributed AGENTS.md, Block contributed goose framework. First time major frontier labs have contributed agentic infrastructure to a neutral foundation. MCP crossed 97M installs in March 2026.</w:t>
      </w:r>
    </w:p>
    <w:p>
      <w:pPr>
        <w:pStyle w:val="Heading2"/>
        <w:spacing w:after="120" w:before="240"/>
      </w:pPr>
      <w:r>
        <w:rPr>
          <w:rFonts w:ascii="Calibri" w:cs="Calibri" w:eastAsia="Calibri" w:hAnsi="Calibri"/>
          <w:b/>
          <w:bCs/>
          <w:color w:val="0A2A5E"/>
          <w:sz w:val="26"/>
          <w:szCs w:val="26"/>
        </w:rPr>
        <w:t xml:space="preserve">8.3 Supply Chain Catalysts</w:t>
      </w:r>
    </w:p>
    <w:p>
      <w:pPr>
        <w:pStyle w:val="ListParagraph"/>
        <w:numPr>
          <w:ilvl w:val="0"/>
          <w:numId w:val="2"/>
        </w:numPr>
        <w:spacing w:after="40" w:before="40" w:line="280"/>
      </w:pPr>
      <w:r>
        <w:rPr>
          <w:rFonts w:ascii="Calibri" w:cs="Calibri" w:eastAsia="Calibri" w:hAnsi="Calibri"/>
          <w:b/>
          <w:bCs/>
          <w:i w:val="false"/>
          <w:iCs w:val="false"/>
          <w:sz w:val="22"/>
          <w:szCs w:val="22"/>
        </w:rPr>
        <w:t xml:space="preserve">TSMC Q1 2026 profit +58% YoY (beat estimates). </w:t>
      </w:r>
      <w:r>
        <w:rPr>
          <w:rFonts w:ascii="Calibri" w:cs="Calibri" w:eastAsia="Calibri" w:hAnsi="Calibri"/>
          <w:b w:val="false"/>
          <w:bCs w:val="false"/>
          <w:i w:val="false"/>
          <w:iCs w:val="false"/>
          <w:sz w:val="22"/>
          <w:szCs w:val="22"/>
        </w:rPr>
        <w:t xml:space="preserve">Confirms AI-driven mix shift. Advanced-node (3nm/2nm) revenue share continues to expand.</w:t>
      </w:r>
    </w:p>
    <w:p>
      <w:pPr>
        <w:pStyle w:val="ListParagraph"/>
        <w:numPr>
          <w:ilvl w:val="0"/>
          <w:numId w:val="2"/>
        </w:numPr>
        <w:spacing w:after="40" w:before="40" w:line="280"/>
      </w:pPr>
      <w:r>
        <w:rPr>
          <w:rFonts w:ascii="Calibri" w:cs="Calibri" w:eastAsia="Calibri" w:hAnsi="Calibri"/>
          <w:b/>
          <w:bCs/>
          <w:i w:val="false"/>
          <w:iCs w:val="false"/>
          <w:sz w:val="22"/>
          <w:szCs w:val="22"/>
        </w:rPr>
        <w:t xml:space="preserve">NVDA invests in Vast Data at $30B valuation. </w:t>
      </w:r>
      <w:r>
        <w:rPr>
          <w:rFonts w:ascii="Calibri" w:cs="Calibri" w:eastAsia="Calibri" w:hAnsi="Calibri"/>
          <w:b w:val="false"/>
          <w:bCs w:val="false"/>
          <w:i w:val="false"/>
          <w:iCs w:val="false"/>
          <w:sz w:val="22"/>
          <w:szCs w:val="22"/>
        </w:rPr>
        <w:t xml:space="preserve">Reinforces NVDA's strategy of vertically investing in AI infrastructure beyond silicon.</w:t>
      </w:r>
    </w:p>
    <w:p>
      <w:pPr>
        <w:pStyle w:val="ListParagraph"/>
        <w:numPr>
          <w:ilvl w:val="0"/>
          <w:numId w:val="2"/>
        </w:numPr>
        <w:spacing w:after="40" w:before="40" w:line="280"/>
      </w:pPr>
      <w:r>
        <w:rPr>
          <w:rFonts w:ascii="Calibri" w:cs="Calibri" w:eastAsia="Calibri" w:hAnsi="Calibri"/>
          <w:b/>
          <w:bCs/>
          <w:i w:val="false"/>
          <w:iCs w:val="false"/>
          <w:sz w:val="22"/>
          <w:szCs w:val="22"/>
        </w:rPr>
        <w:t xml:space="preserve">Ratepayer Protection Pledge (March 4, 2026). </w:t>
      </w:r>
      <w:r>
        <w:rPr>
          <w:rFonts w:ascii="Calibri" w:cs="Calibri" w:eastAsia="Calibri" w:hAnsi="Calibri"/>
          <w:b w:val="false"/>
          <w:bCs w:val="false"/>
          <w:i w:val="false"/>
          <w:iCs w:val="false"/>
          <w:sz w:val="22"/>
          <w:szCs w:val="22"/>
        </w:rPr>
        <w:t xml:space="preserve">Major data center developers signed a White House-coordinated pledge to cover the full cost of new electric generation. Voluntary and unenforceable, but signals industry recognition of grid concerns.</w:t>
      </w:r>
    </w:p>
    <w:p>
      <w:pPr>
        <w:pStyle w:val="ListParagraph"/>
        <w:numPr>
          <w:ilvl w:val="0"/>
          <w:numId w:val="2"/>
        </w:numPr>
        <w:spacing w:after="40" w:before="40" w:line="280"/>
      </w:pPr>
      <w:r>
        <w:rPr>
          <w:rFonts w:ascii="Calibri" w:cs="Calibri" w:eastAsia="Calibri" w:hAnsi="Calibri"/>
          <w:b/>
          <w:bCs/>
          <w:i w:val="false"/>
          <w:iCs w:val="false"/>
          <w:sz w:val="22"/>
          <w:szCs w:val="22"/>
        </w:rPr>
        <w:t xml:space="preserve">SK Hynix HBM4 mass production preparation. </w:t>
      </w:r>
      <w:r>
        <w:rPr>
          <w:rFonts w:ascii="Calibri" w:cs="Calibri" w:eastAsia="Calibri" w:hAnsi="Calibri"/>
          <w:b w:val="false"/>
          <w:bCs w:val="false"/>
          <w:i w:val="false"/>
          <w:iCs w:val="false"/>
          <w:sz w:val="22"/>
          <w:szCs w:val="22"/>
        </w:rPr>
        <w:t xml:space="preserve">World-first HBM4 development complete; paid final samples delivered to NVDA. SK Hynix-TSMC 12nm base-die partnership secured primary supplier status for Blackwell Ultra and Rubin platforms.</w:t>
      </w:r>
    </w:p>
    <w:p>
      <w:r>
        <w:br w:type="page"/>
      </w:r>
    </w:p>
    <w:p>
      <w:pPr>
        <w:pStyle w:val="Heading1"/>
        <w:spacing w:after="180" w:before="360"/>
      </w:pPr>
      <w:r>
        <w:rPr>
          <w:rFonts w:ascii="Calibri" w:cs="Calibri" w:eastAsia="Calibri" w:hAnsi="Calibri"/>
          <w:b/>
          <w:bCs/>
          <w:color w:val="0A2A5E"/>
          <w:sz w:val="32"/>
          <w:szCs w:val="32"/>
        </w:rPr>
        <w:t xml:space="preserve">9. Summary View and Coverage Recommendations</w:t>
      </w:r>
    </w:p>
    <w:p>
      <w:pPr>
        <w:spacing w:after="60" w:before="60" w:line="300"/>
        <w:jc w:val="both"/>
      </w:pPr>
      <w:r>
        <w:rPr>
          <w:rFonts w:ascii="Calibri" w:cs="Calibri" w:eastAsia="Calibri" w:hAnsi="Calibri"/>
          <w:b w:val="false"/>
          <w:bCs w:val="false"/>
          <w:i w:val="false"/>
          <w:iCs w:val="false"/>
          <w:color w:val="000000"/>
          <w:sz w:val="22"/>
          <w:szCs w:val="22"/>
        </w:rPr>
        <w:t xml:space="preserve">The AI investment landscape in April 2026 is defined by three simultaneous truths that most allocators have not fully internalized:</w:t>
      </w:r>
    </w:p>
    <w:p>
      <w:pPr>
        <w:spacing w:after="60" w:before="60" w:line="300"/>
        <w:jc w:val="both"/>
      </w:pPr>
      <w:r>
        <w:rPr>
          <w:rFonts w:ascii="Calibri" w:cs="Calibri" w:eastAsia="Calibri" w:hAnsi="Calibri"/>
          <w:b/>
          <w:bCs/>
          <w:i w:val="false"/>
          <w:iCs w:val="false"/>
          <w:color w:val="000000"/>
          <w:sz w:val="22"/>
          <w:szCs w:val="22"/>
        </w:rPr>
        <w:t xml:space="preserve">First, </w:t>
      </w:r>
      <w:r>
        <w:rPr>
          <w:rFonts w:ascii="Calibri" w:cs="Calibri" w:eastAsia="Calibri" w:hAnsi="Calibri"/>
          <w:b w:val="false"/>
          <w:bCs w:val="false"/>
          <w:i w:val="false"/>
          <w:iCs w:val="false"/>
          <w:color w:val="000000"/>
          <w:sz w:val="22"/>
          <w:szCs w:val="22"/>
        </w:rPr>
        <w:t xml:space="preserve">the capability gap between closed-weight and open-weight models has compressed to a narrow margin at the median use case, but remains meaningful at the frontier — and the frontier is where the rents are. This supports continued pricing power for OpenAI and Anthropic in enterprise-agentic and coding workloads, even as base-intelligence pricing collapses.</w:t>
      </w:r>
    </w:p>
    <w:p>
      <w:pPr>
        <w:spacing w:after="60" w:before="60" w:line="300"/>
        <w:jc w:val="both"/>
      </w:pPr>
      <w:r>
        <w:rPr>
          <w:rFonts w:ascii="Calibri" w:cs="Calibri" w:eastAsia="Calibri" w:hAnsi="Calibri"/>
          <w:b/>
          <w:bCs/>
          <w:i w:val="false"/>
          <w:iCs w:val="false"/>
          <w:color w:val="000000"/>
          <w:sz w:val="22"/>
          <w:szCs w:val="22"/>
        </w:rPr>
        <w:t xml:space="preserve">Second, </w:t>
      </w:r>
      <w:r>
        <w:rPr>
          <w:rFonts w:ascii="Calibri" w:cs="Calibri" w:eastAsia="Calibri" w:hAnsi="Calibri"/>
          <w:b w:val="false"/>
          <w:bCs w:val="false"/>
          <w:i w:val="false"/>
          <w:iCs w:val="false"/>
          <w:color w:val="000000"/>
          <w:sz w:val="22"/>
          <w:szCs w:val="22"/>
        </w:rPr>
        <w:t xml:space="preserve">the supply chain is structurally constrained in a way that makes the physical layer (NVDA, TSMC, ASML, SK Hynix, AVGO) the most defensible earnings in the entire complex. Regardless of which model camp captures more value, all of them must buy from this supply chain. For a conservative AI portfolio, the supply chain is the starting allocation.</w:t>
      </w:r>
    </w:p>
    <w:p>
      <w:pPr>
        <w:spacing w:after="60" w:before="60" w:line="300"/>
        <w:jc w:val="both"/>
      </w:pPr>
      <w:r>
        <w:rPr>
          <w:rFonts w:ascii="Calibri" w:cs="Calibri" w:eastAsia="Calibri" w:hAnsi="Calibri"/>
          <w:b/>
          <w:bCs/>
          <w:i w:val="false"/>
          <w:iCs w:val="false"/>
          <w:color w:val="000000"/>
          <w:sz w:val="22"/>
          <w:szCs w:val="22"/>
        </w:rPr>
        <w:t xml:space="preserve">Third, </w:t>
      </w:r>
      <w:r>
        <w:rPr>
          <w:rFonts w:ascii="Calibri" w:cs="Calibri" w:eastAsia="Calibri" w:hAnsi="Calibri"/>
          <w:b w:val="false"/>
          <w:bCs w:val="false"/>
          <w:i w:val="false"/>
          <w:iCs w:val="false"/>
          <w:color w:val="000000"/>
          <w:sz w:val="22"/>
          <w:szCs w:val="22"/>
        </w:rPr>
        <w:t xml:space="preserve">the democratization of pre-IPO access via ARKVX, DXYZ, USVC, Hiive, and Forge has materially changed how allocators should think about the private-to-public transition in AI. The old playbook of waiting for IPOs to gain exposure is obsolete — by the time OpenAI lists at $1T+ in Q4 2026, much of the alpha will have been captured in the secondary-market run-up.</w:t>
      </w:r>
    </w:p>
    <w:p>
      <w:pPr>
        <w:pStyle w:val="Heading2"/>
        <w:spacing w:after="120" w:before="240"/>
      </w:pPr>
      <w:r>
        <w:rPr>
          <w:rFonts w:ascii="Calibri" w:cs="Calibri" w:eastAsia="Calibri" w:hAnsi="Calibri"/>
          <w:b/>
          <w:bCs/>
          <w:color w:val="0A2A5E"/>
          <w:sz w:val="26"/>
          <w:szCs w:val="26"/>
        </w:rPr>
        <w:t xml:space="preserve">9.1 Recommended Portfolio Construction</w:t>
      </w:r>
    </w:p>
    <w:p>
      <w:pPr>
        <w:pStyle w:val="ListParagraph"/>
        <w:numPr>
          <w:ilvl w:val="0"/>
          <w:numId w:val="2"/>
        </w:numPr>
        <w:spacing w:after="40" w:before="40" w:line="280"/>
      </w:pPr>
      <w:r>
        <w:rPr>
          <w:rFonts w:ascii="Calibri" w:cs="Calibri" w:eastAsia="Calibri" w:hAnsi="Calibri"/>
          <w:b/>
          <w:bCs/>
          <w:i w:val="false"/>
          <w:iCs w:val="false"/>
          <w:sz w:val="22"/>
          <w:szCs w:val="22"/>
        </w:rPr>
        <w:t xml:space="preserve">Core (60–70% of AI sleeve): </w:t>
      </w:r>
      <w:r>
        <w:rPr>
          <w:rFonts w:ascii="Calibri" w:cs="Calibri" w:eastAsia="Calibri" w:hAnsi="Calibri"/>
          <w:b w:val="false"/>
          <w:bCs w:val="false"/>
          <w:i w:val="false"/>
          <w:iCs w:val="false"/>
          <w:sz w:val="22"/>
          <w:szCs w:val="22"/>
        </w:rPr>
        <w:t xml:space="preserve">NVDA, MSFT, GOOGL, TSM, ASML, AMZN, META. These are the liquid, large-cap names with multi-vector AI exposure and defensible earnings.</w:t>
      </w:r>
    </w:p>
    <w:p>
      <w:pPr>
        <w:pStyle w:val="ListParagraph"/>
        <w:numPr>
          <w:ilvl w:val="0"/>
          <w:numId w:val="2"/>
        </w:numPr>
        <w:spacing w:after="40" w:before="40" w:line="280"/>
      </w:pPr>
      <w:r>
        <w:rPr>
          <w:rFonts w:ascii="Calibri" w:cs="Calibri" w:eastAsia="Calibri" w:hAnsi="Calibri"/>
          <w:b/>
          <w:bCs/>
          <w:i w:val="false"/>
          <w:iCs w:val="false"/>
          <w:sz w:val="22"/>
          <w:szCs w:val="22"/>
        </w:rPr>
        <w:t xml:space="preserve">Satellite (20–30% of AI sleeve): </w:t>
      </w:r>
      <w:r>
        <w:rPr>
          <w:rFonts w:ascii="Calibri" w:cs="Calibri" w:eastAsia="Calibri" w:hAnsi="Calibri"/>
          <w:b w:val="false"/>
          <w:bCs w:val="false"/>
          <w:i w:val="false"/>
          <w:iCs w:val="false"/>
          <w:sz w:val="22"/>
          <w:szCs w:val="22"/>
        </w:rPr>
        <w:t xml:space="preserve">AVGO, MU, 000660.KS (SK Hynix), AMD, DELL, VST/CEG. More sensitive to capex cycle but attractive asymmetric upside on continued buildout.</w:t>
      </w:r>
    </w:p>
    <w:p>
      <w:pPr>
        <w:pStyle w:val="ListParagraph"/>
        <w:numPr>
          <w:ilvl w:val="0"/>
          <w:numId w:val="2"/>
        </w:numPr>
        <w:spacing w:after="40" w:before="40" w:line="280"/>
      </w:pPr>
      <w:r>
        <w:rPr>
          <w:rFonts w:ascii="Calibri" w:cs="Calibri" w:eastAsia="Calibri" w:hAnsi="Calibri"/>
          <w:b/>
          <w:bCs/>
          <w:i w:val="false"/>
          <w:iCs w:val="false"/>
          <w:sz w:val="22"/>
          <w:szCs w:val="22"/>
        </w:rPr>
        <w:t xml:space="preserve">Private-AI Exposure (5–10% of AI sleeve): </w:t>
      </w:r>
      <w:r>
        <w:rPr>
          <w:rFonts w:ascii="Calibri" w:cs="Calibri" w:eastAsia="Calibri" w:hAnsi="Calibri"/>
          <w:b w:val="false"/>
          <w:bCs w:val="false"/>
          <w:i w:val="false"/>
          <w:iCs w:val="false"/>
          <w:sz w:val="22"/>
          <w:szCs w:val="22"/>
        </w:rPr>
        <w:t xml:space="preserve">ARKVX for diversified pre-IPO basket; DXYZ for more liquid but NAV-premium-sensitive exposure; direct Hiive/Forge positions for accredited accounts with multi-year lockup tolerance.</w:t>
      </w:r>
    </w:p>
    <w:p>
      <w:pPr>
        <w:pStyle w:val="ListParagraph"/>
        <w:numPr>
          <w:ilvl w:val="0"/>
          <w:numId w:val="2"/>
        </w:numPr>
        <w:spacing w:after="40" w:before="40" w:line="280"/>
      </w:pPr>
      <w:r>
        <w:rPr>
          <w:rFonts w:ascii="Calibri" w:cs="Calibri" w:eastAsia="Calibri" w:hAnsi="Calibri"/>
          <w:b/>
          <w:bCs/>
          <w:i w:val="false"/>
          <w:iCs w:val="false"/>
          <w:sz w:val="22"/>
          <w:szCs w:val="22"/>
        </w:rPr>
        <w:t xml:space="preserve">Tactical / Speculative (0–5%): </w:t>
      </w:r>
      <w:r>
        <w:rPr>
          <w:rFonts w:ascii="Calibri" w:cs="Calibri" w:eastAsia="Calibri" w:hAnsi="Calibri"/>
          <w:b w:val="false"/>
          <w:bCs w:val="false"/>
          <w:i w:val="false"/>
          <w:iCs w:val="false"/>
          <w:sz w:val="22"/>
          <w:szCs w:val="22"/>
        </w:rPr>
        <w:t xml:space="preserve">OKLO, NNE (SMR optionality); SMCI (post-restatement recovery); BABA (Chinese AI exposure, political risk).</w:t>
      </w:r>
    </w:p>
    <w:p>
      <w:pPr>
        <w:pStyle w:val="Heading2"/>
        <w:spacing w:after="120" w:before="240"/>
      </w:pPr>
      <w:r>
        <w:rPr>
          <w:rFonts w:ascii="Calibri" w:cs="Calibri" w:eastAsia="Calibri" w:hAnsi="Calibri"/>
          <w:b/>
          <w:bCs/>
          <w:color w:val="0A2A5E"/>
          <w:sz w:val="26"/>
          <w:szCs w:val="26"/>
        </w:rPr>
        <w:t xml:space="preserve">9.2 Key Risks to Monitor</w:t>
      </w:r>
    </w:p>
    <w:p>
      <w:pPr>
        <w:pStyle w:val="ListParagraph"/>
        <w:numPr>
          <w:ilvl w:val="0"/>
          <w:numId w:val="2"/>
        </w:numPr>
        <w:spacing w:after="40" w:before="40" w:line="280"/>
      </w:pPr>
      <w:r>
        <w:rPr>
          <w:rFonts w:ascii="Calibri" w:cs="Calibri" w:eastAsia="Calibri" w:hAnsi="Calibri"/>
          <w:b/>
          <w:bCs/>
          <w:i w:val="false"/>
          <w:iCs w:val="false"/>
          <w:sz w:val="22"/>
          <w:szCs w:val="22"/>
        </w:rPr>
        <w:t xml:space="preserve">Stargate / hyperscaler capex cuts: </w:t>
      </w:r>
      <w:r>
        <w:rPr>
          <w:rFonts w:ascii="Calibri" w:cs="Calibri" w:eastAsia="Calibri" w:hAnsi="Calibri"/>
          <w:b w:val="false"/>
          <w:bCs w:val="false"/>
          <w:i w:val="false"/>
          <w:iCs w:val="false"/>
          <w:sz w:val="22"/>
          <w:szCs w:val="22"/>
        </w:rPr>
        <w:t xml:space="preserve">New DC deals fell 40%+ Q3-Q4 2025. A more pronounced pullback would rerate the entire supply chain.</w:t>
      </w:r>
    </w:p>
    <w:p>
      <w:pPr>
        <w:pStyle w:val="ListParagraph"/>
        <w:numPr>
          <w:ilvl w:val="0"/>
          <w:numId w:val="2"/>
        </w:numPr>
        <w:spacing w:after="40" w:before="40" w:line="280"/>
      </w:pPr>
      <w:r>
        <w:rPr>
          <w:rFonts w:ascii="Calibri" w:cs="Calibri" w:eastAsia="Calibri" w:hAnsi="Calibri"/>
          <w:b/>
          <w:bCs/>
          <w:i w:val="false"/>
          <w:iCs w:val="false"/>
          <w:sz w:val="22"/>
          <w:szCs w:val="22"/>
        </w:rPr>
        <w:t xml:space="preserve">DeepSeek V4 launch impact: </w:t>
      </w:r>
      <w:r>
        <w:rPr>
          <w:rFonts w:ascii="Calibri" w:cs="Calibri" w:eastAsia="Calibri" w:hAnsi="Calibri"/>
          <w:b w:val="false"/>
          <w:bCs w:val="false"/>
          <w:i w:val="false"/>
          <w:iCs w:val="false"/>
          <w:sz w:val="22"/>
          <w:szCs w:val="22"/>
        </w:rPr>
        <w:t xml:space="preserve">If $0.14/M pricing is sustained, closed-weight API revenue could see meaningful deceleration.</w:t>
      </w:r>
    </w:p>
    <w:p>
      <w:pPr>
        <w:pStyle w:val="ListParagraph"/>
        <w:numPr>
          <w:ilvl w:val="0"/>
          <w:numId w:val="2"/>
        </w:numPr>
        <w:spacing w:after="40" w:before="40" w:line="280"/>
      </w:pPr>
      <w:r>
        <w:rPr>
          <w:rFonts w:ascii="Calibri" w:cs="Calibri" w:eastAsia="Calibri" w:hAnsi="Calibri"/>
          <w:b/>
          <w:bCs/>
          <w:i w:val="false"/>
          <w:iCs w:val="false"/>
          <w:sz w:val="22"/>
          <w:szCs w:val="22"/>
        </w:rPr>
        <w:t xml:space="preserve">Post-IPO float mechanics: </w:t>
      </w:r>
      <w:r>
        <w:rPr>
          <w:rFonts w:ascii="Calibri" w:cs="Calibri" w:eastAsia="Calibri" w:hAnsi="Calibri"/>
          <w:b w:val="false"/>
          <w:bCs w:val="false"/>
          <w:i w:val="false"/>
          <w:iCs w:val="false"/>
          <w:sz w:val="22"/>
          <w:szCs w:val="22"/>
        </w:rPr>
        <w:t xml:space="preserve">SpaceX/xAI, OpenAI, Anthropic combined listings could represent ~$3T in market cap with 3–8% floats — unprecedented dynamics that could distort passive flows and create inclusion/exclusion volatility.</w:t>
      </w:r>
    </w:p>
    <w:p>
      <w:pPr>
        <w:pStyle w:val="ListParagraph"/>
        <w:numPr>
          <w:ilvl w:val="0"/>
          <w:numId w:val="2"/>
        </w:numPr>
        <w:spacing w:after="40" w:before="40" w:line="280"/>
      </w:pPr>
      <w:r>
        <w:rPr>
          <w:rFonts w:ascii="Calibri" w:cs="Calibri" w:eastAsia="Calibri" w:hAnsi="Calibri"/>
          <w:b/>
          <w:bCs/>
          <w:i w:val="false"/>
          <w:iCs w:val="false"/>
          <w:sz w:val="22"/>
          <w:szCs w:val="22"/>
        </w:rPr>
        <w:t xml:space="preserve">Regulatory: </w:t>
      </w:r>
      <w:r>
        <w:rPr>
          <w:rFonts w:ascii="Calibri" w:cs="Calibri" w:eastAsia="Calibri" w:hAnsi="Calibri"/>
          <w:b w:val="false"/>
          <w:bCs w:val="false"/>
          <w:i w:val="false"/>
          <w:iCs w:val="false"/>
          <w:sz w:val="22"/>
          <w:szCs w:val="22"/>
        </w:rPr>
        <w:t xml:space="preserve">State-level data center moratoriums, EU AI Act enforcement, ongoing copyright litigation.</w:t>
      </w:r>
    </w:p>
    <w:p>
      <w:pPr>
        <w:pStyle w:val="ListParagraph"/>
        <w:numPr>
          <w:ilvl w:val="0"/>
          <w:numId w:val="2"/>
        </w:numPr>
        <w:spacing w:after="40" w:before="40" w:line="280"/>
      </w:pPr>
      <w:r>
        <w:rPr>
          <w:rFonts w:ascii="Calibri" w:cs="Calibri" w:eastAsia="Calibri" w:hAnsi="Calibri"/>
          <w:b/>
          <w:bCs/>
          <w:i w:val="false"/>
          <w:iCs w:val="false"/>
          <w:sz w:val="22"/>
          <w:szCs w:val="22"/>
        </w:rPr>
        <w:t xml:space="preserve">Energy constraint binding: </w:t>
      </w:r>
      <w:r>
        <w:rPr>
          <w:rFonts w:ascii="Calibri" w:cs="Calibri" w:eastAsia="Calibri" w:hAnsi="Calibri"/>
          <w:b w:val="false"/>
          <w:bCs w:val="false"/>
          <w:i w:val="false"/>
          <w:iCs w:val="false"/>
          <w:sz w:val="22"/>
          <w:szCs w:val="22"/>
        </w:rPr>
        <w:t xml:space="preserve">PJM's projected 6GW shortfall by 2027 could become the single most important physical bottleneck if unresolved.</w:t>
      </w:r>
    </w:p>
    <w:p>
      <w:pPr>
        <w:pStyle w:val="Heading2"/>
        <w:spacing w:after="120" w:before="240"/>
      </w:pPr>
      <w:r>
        <w:rPr>
          <w:rFonts w:ascii="Calibri" w:cs="Calibri" w:eastAsia="Calibri" w:hAnsi="Calibri"/>
          <w:b/>
          <w:bCs/>
          <w:color w:val="0A2A5E"/>
          <w:sz w:val="26"/>
          <w:szCs w:val="26"/>
        </w:rPr>
        <w:t xml:space="preserve">9.3 Analyst View</w:t>
      </w:r>
    </w:p>
    <w:p>
      <w:pPr>
        <w:spacing w:after="60" w:before="60" w:line="300"/>
        <w:jc w:val="both"/>
      </w:pPr>
      <w:r>
        <w:rPr>
          <w:rFonts w:ascii="Calibri" w:cs="Calibri" w:eastAsia="Calibri" w:hAnsi="Calibri"/>
          <w:b w:val="false"/>
          <w:bCs w:val="false"/>
          <w:i w:val="false"/>
          <w:iCs w:val="false"/>
          <w:color w:val="000000"/>
          <w:sz w:val="22"/>
          <w:szCs w:val="22"/>
        </w:rPr>
        <w:t xml:space="preserve">Our coverage view is that the AI infrastructure buildout will continue through 2027, with material deceleration more likely in 2028–29 as efficiency gains (HBM4, custom ASIC, model distillation) work through. The single most important risk for the desk is not a capability stall but rather a demand-side air pocket — if AI monetization at the application layer fails to catch up to infrastructure spend, the current capex cycle could unwind sharply. Our base case assumes continued enterprise adoption momentum sufficient to sustain 2026–27 capex, with 2028 as the "show me the earnings" inflection point.</w:t>
      </w:r>
    </w:p>
    <w:p>
      <w:pPr>
        <w:spacing w:after="60" w:before="60" w:line="300"/>
        <w:jc w:val="both"/>
      </w:pPr>
      <w:r>
        <w:rPr>
          <w:rFonts w:ascii="Calibri" w:cs="Calibri" w:eastAsia="Calibri" w:hAnsi="Calibri"/>
          <w:b w:val="false"/>
          <w:bCs w:val="false"/>
          <w:i w:val="false"/>
          <w:iCs w:val="false"/>
          <w:color w:val="000000"/>
          <w:sz w:val="22"/>
          <w:szCs w:val="22"/>
        </w:rPr>
        <w:t xml:space="preserve">We reiterate overweight ratings on NVDA, MSFT, GOOGL, TSM, ASML, and AVGO. We favor gradual scaling into private-market vehicles (ARKVX, DXYZ) for clients with multi-year horizons. We would take profits in more speculative capex derivatives (OKLO, SMCI, pure-play AI small caps) into any further multiple expansion.</w:t>
      </w:r>
    </w:p>
    <w:p>
      <w:pPr>
        <w:spacing w:after="60" w:before="60"/>
      </w:pPr>
      <w:r>
        <w:rPr>
          <w:sz w:val="20"/>
          <w:szCs w:val="20"/>
        </w:rPr>
        <w:t xml:space="preserve"/>
      </w:r>
    </w:p>
    <w:p>
      <w:pPr>
        <w:pBdr>
          <w:bottom w:val="single" w:color="0A2A5E" w:sz="8" w:space="1"/>
        </w:pBdr>
        <w:spacing w:after="120" w:before="120"/>
      </w:pPr>
      <w:r>
        <w:rPr>
          <w:sz w:val="2"/>
          <w:szCs w:val="2"/>
        </w:rPr>
        <w:t xml:space="preserve"/>
      </w:r>
    </w:p>
    <w:p>
      <w:pPr>
        <w:spacing w:after="120" w:before="240"/>
      </w:pPr>
      <w:r>
        <w:rPr>
          <w:rFonts w:ascii="Calibri" w:cs="Calibri" w:eastAsia="Calibri" w:hAnsi="Calibri"/>
          <w:b/>
          <w:bCs/>
          <w:color w:val="0A2A5E"/>
          <w:sz w:val="20"/>
          <w:szCs w:val="20"/>
        </w:rPr>
        <w:t xml:space="preserve">DISCLAIMERS</w:t>
      </w:r>
    </w:p>
    <w:p>
      <w:pPr>
        <w:spacing w:after="80" w:line="240"/>
        <w:jc w:val="both"/>
      </w:pPr>
      <w:r>
        <w:rPr>
          <w:rFonts w:ascii="Calibri" w:cs="Calibri" w:eastAsia="Calibri" w:hAnsi="Calibri"/>
          <w:i/>
          <w:iCs/>
          <w:color w:val="4A4A4A"/>
          <w:sz w:val="16"/>
          <w:szCs w:val="16"/>
        </w:rPr>
        <w:t xml:space="preserve">This report is a simulated thematic research note prepared for internal educational/illustrative purposes. It is not a product of Goldman Sachs Global Investment Research and does not represent Goldman Sachs' official views, ratings, or recommendations. All data points have been compiled from publicly available sources as of the report date. Private-company valuations and secondary-market marks reference public reporting and should not be taken as mark-to-market values. Nothing herein constitutes investment advice, an offer to sell, or a solicitation to buy any security. Individual investors should consult a qualified financial advisor before making any investment decision. Past performance is not indicative of future results.</w:t>
      </w:r>
    </w:p>
    <w:sectPr>
      <w:headerReference w:type="default" r:id="rId7"/>
      <w:footerReference w:type="default" r:id="rId8"/>
      <w:pgSz w:w="12240" w:h="15840" w:orient="portrait"/>
      <w:pgMar w:top="1800" w:right="1440" w:bottom="180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jc w:val="left"/>
    </w:pPr>
    <w:r>
      <w:rPr>
        <w:rFonts w:ascii="Calibri" w:cs="Calibri" w:eastAsia="Calibri" w:hAnsi="Calibri"/>
        <w:i/>
        <w:iCs/>
        <w:color w:val="4A4A4A"/>
        <w:sz w:val="16"/>
        <w:szCs w:val="16"/>
      </w:rPr>
      <w:t xml:space="preserve">CONFIDENTIAL — For internal distribution only</w:t>
    </w:r>
    <w:r>
      <w:rPr>
        <w:rFonts w:ascii="Calibri" w:cs="Calibri" w:eastAsia="Calibri" w:hAnsi="Calibri"/>
        <w:color w:val="4A4A4A"/>
        <w:sz w:val="16"/>
        <w:szCs w:val="16"/>
      </w:rPr>
      <w:t xml:space="preserve">	Page </w:t>
    </w:r>
    <w:r>
      <w:rPr>
        <w:rFonts w:ascii="Calibri" w:cs="Calibri" w:eastAsia="Calibri" w:hAnsi="Calibri"/>
        <w:color w:val="4A4A4A"/>
        <w:sz w:val="16"/>
        <w:szCs w:val="16"/>
      </w:rPr>
      <w:fldChar w:fldCharType="begin"/>
      <w:instrText xml:space="preserve">PAGE</w:instrText>
      <w:fldChar w:fldCharType="separate"/>
      <w:fldChar w:fldCharType="end"/>
    </w:r>
    <w:r>
      <w:rPr>
        <w:rFonts w:ascii="Calibri" w:cs="Calibri" w:eastAsia="Calibri" w:hAnsi="Calibri"/>
        <w:color w:val="4A4A4A"/>
        <w:sz w:val="16"/>
        <w:szCs w:val="16"/>
      </w:rPr>
      <w:t xml:space="preserve"> of </w:t>
    </w:r>
    <w:r>
      <w:rPr>
        <w:rFonts w:ascii="Calibri" w:cs="Calibri" w:eastAsia="Calibri" w:hAnsi="Calibri"/>
        <w:color w:val="4A4A4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2A5E" w:sz="6" w:space="6"/>
      </w:pBdr>
      <w:jc w:val="left"/>
    </w:pPr>
    <w:r>
      <w:rPr>
        <w:rFonts w:ascii="Calibri" w:cs="Calibri" w:eastAsia="Calibri" w:hAnsi="Calibri"/>
        <w:b/>
        <w:bCs/>
        <w:color w:val="0A2A5E"/>
        <w:sz w:val="18"/>
        <w:szCs w:val="18"/>
      </w:rPr>
      <w:t xml:space="preserve">Goldman Sachs Global Investment Research</w:t>
    </w:r>
    <w:r>
      <w:rPr>
        <w:rFonts w:ascii="Calibri" w:cs="Calibri" w:eastAsia="Calibri" w:hAnsi="Calibri"/>
        <w:color w:val="4A4A4A"/>
        <w:sz w:val="18"/>
        <w:szCs w:val="18"/>
      </w:rPr>
      <w:t xml:space="preserve">   |   </w:t>
    </w:r>
    <w:r>
      <w:rPr>
        <w:rFonts w:ascii="Calibri" w:cs="Calibri" w:eastAsia="Calibri" w:hAnsi="Calibri"/>
        <w:i/>
        <w:iCs/>
        <w:color w:val="4A4A4A"/>
        <w:sz w:val="18"/>
        <w:szCs w:val="18"/>
      </w:rPr>
      <w:t xml:space="preserve">AI Coverage — Thematic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A2A5E"/>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0A2A5E"/>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B18C3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Open vs. Closed AI Divide</dc:title>
  <dc:creator>Goldman Sachs Global Investment Research (Simulated)</dc:creator>
  <dc:description>Thematic research report on AI industry structure, supply chain, and exposure</dc:description>
  <cp:lastModifiedBy>Un-named</cp:lastModifiedBy>
  <cp:revision>1</cp:revision>
  <dcterms:created xsi:type="dcterms:W3CDTF">2026-04-23T15:13:11.190Z</dcterms:created>
  <dcterms:modified xsi:type="dcterms:W3CDTF">2026-04-23T15:13:11.190Z</dcterms:modified>
</cp:coreProperties>
</file>

<file path=docProps/custom.xml><?xml version="1.0" encoding="utf-8"?>
<Properties xmlns="http://schemas.openxmlformats.org/officeDocument/2006/custom-properties" xmlns:vt="http://schemas.openxmlformats.org/officeDocument/2006/docPropsVTypes"/>
</file>