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i/>
          <w:iCs/>
          <w:color w:val="1B4F8C"/>
          <w:sz w:val="18"/>
          <w:szCs w:val="18"/>
        </w:rPr>
        <w:t xml:space="preserve">Goldman Sachs Global Investment Research   |   AI Coverage — Thematic Research</w:t>
      </w:r>
    </w:p>
    <w:p>
      <w:pPr>
        <w:pBdr>
          <w:bottom w:val="single" w:color="1B4F8C" w:sz="18" w:space="4"/>
        </w:pBdr>
        <w:spacing w:after="0" w:before="240"/>
        <w:jc w:val="left"/>
      </w:pPr>
      <w:r>
        <w:rPr>
          <w:rFonts w:ascii="Arial" w:cs="Arial" w:eastAsia="Arial" w:hAnsi="Arial"/>
          <w:b/>
          <w:bCs/>
          <w:color w:val="0B2545"/>
          <w:sz w:val="36"/>
          <w:szCs w:val="36"/>
        </w:rPr>
        <w:t xml:space="preserve">GOLDMAN SACHS</w:t>
      </w:r>
    </w:p>
    <w:p>
      <w:pPr>
        <w:spacing w:after="480" w:before="80"/>
        <w:jc w:val="left"/>
      </w:pPr>
      <w:r>
        <w:rPr>
          <w:rFonts w:ascii="Arial" w:cs="Arial" w:eastAsia="Arial" w:hAnsi="Arial"/>
          <w:b/>
          <w:bCs/>
          <w:color w:val="1B4F8C"/>
          <w:sz w:val="18"/>
          <w:szCs w:val="18"/>
        </w:rPr>
        <w:t xml:space="preserve">GLOBAL INVESTMENT RESEARCH  |  TECHNOLOGY — ARTIFICIAL INTELLIGENCE</w:t>
      </w:r>
    </w:p>
    <w:p>
      <w:pPr>
        <w:spacing w:after="200" w:before="200"/>
        <w:jc w:val="left"/>
      </w:pPr>
      <w:r>
        <w:rPr>
          <w:rFonts w:ascii="Arial" w:cs="Arial" w:eastAsia="Arial" w:hAnsi="Arial"/>
          <w:b/>
          <w:bCs/>
          <w:color w:val="0B2545"/>
          <w:sz w:val="40"/>
          <w:szCs w:val="40"/>
        </w:rPr>
        <w:t xml:space="preserve">The Open vs. Closed AI Divide — Expanded Edition</w:t>
      </w:r>
    </w:p>
    <w:p>
      <w:pPr>
        <w:spacing w:after="600" w:before="0"/>
        <w:jc w:val="left"/>
      </w:pPr>
      <w:r>
        <w:rPr>
          <w:rFonts w:ascii="Arial" w:cs="Arial" w:eastAsia="Arial" w:hAnsi="Arial"/>
          <w:i/>
          <w:iCs/>
          <w:color w:val="1B4F8C"/>
          <w:sz w:val="24"/>
          <w:szCs w:val="24"/>
        </w:rPr>
        <w:t xml:space="preserve">Competitive Strategy, Compute Architecture, Memory, Neoclouds, and Investable Exposure Across the Full Frontier-Model Stack</w:t>
      </w:r>
    </w:p>
    <w:p>
      <w:pPr>
        <w:spacing w:after="80" w:before="200"/>
      </w:pPr>
      <w:r>
        <w:rPr>
          <w:rFonts w:ascii="Arial" w:cs="Arial" w:eastAsia="Arial" w:hAnsi="Arial"/>
          <w:b/>
          <w:bCs/>
          <w:color w:val="0B2545"/>
          <w:sz w:val="20"/>
          <w:szCs w:val="20"/>
        </w:rPr>
        <w:t xml:space="preserve">THEMATIC RESEARCH  |  COVERAGE INITIATION UPDATE — V2</w:t>
      </w:r>
    </w:p>
    <w:p>
      <w:pPr>
        <w:spacing w:after="400" w:before="0"/>
      </w:pPr>
      <w:r>
        <w:rPr>
          <w:rFonts w:ascii="Arial" w:cs="Arial" w:eastAsia="Arial" w:hAnsi="Arial"/>
          <w:color w:val="1D2939"/>
          <w:sz w:val="20"/>
          <w:szCs w:val="20"/>
        </w:rPr>
        <w:t xml:space="preserve">April 25, 2026</w:t>
      </w:r>
    </w:p>
    <w:p>
      <w:pPr>
        <w:spacing w:after="60" w:before="200"/>
      </w:pPr>
      <w:r>
        <w:rPr>
          <w:rFonts w:ascii="Arial" w:cs="Arial" w:eastAsia="Arial" w:hAnsi="Arial"/>
          <w:i/>
          <w:iCs/>
          <w:color w:val="1D2939"/>
          <w:sz w:val="20"/>
          <w:szCs w:val="20"/>
        </w:rPr>
        <w:t xml:space="preserve">Prepared for:</w:t>
      </w:r>
    </w:p>
    <w:p>
      <w:pPr>
        <w:spacing w:after="240" w:before="0"/>
      </w:pPr>
      <w:r>
        <w:rPr>
          <w:rFonts w:ascii="Arial" w:cs="Arial" w:eastAsia="Arial" w:hAnsi="Arial"/>
          <w:b/>
          <w:bCs/>
          <w:color w:val="0B2545"/>
          <w:sz w:val="22"/>
          <w:szCs w:val="22"/>
        </w:rPr>
        <w:t xml:space="preserve">Managing Director — Technology Investment Banking</w:t>
      </w:r>
    </w:p>
    <w:p>
      <w:pPr>
        <w:spacing w:after="60" w:before="120"/>
      </w:pPr>
      <w:r>
        <w:rPr>
          <w:rFonts w:ascii="Arial" w:cs="Arial" w:eastAsia="Arial" w:hAnsi="Arial"/>
          <w:i/>
          <w:iCs/>
          <w:color w:val="1D2939"/>
          <w:sz w:val="20"/>
          <w:szCs w:val="20"/>
        </w:rPr>
        <w:t xml:space="preserve">Prepared by:</w:t>
      </w:r>
    </w:p>
    <w:p>
      <w:pPr>
        <w:spacing w:after="240" w:before="0"/>
      </w:pPr>
      <w:r>
        <w:rPr>
          <w:rFonts w:ascii="Arial" w:cs="Arial" w:eastAsia="Arial" w:hAnsi="Arial"/>
          <w:b/>
          <w:bCs/>
          <w:color w:val="0B2545"/>
          <w:sz w:val="22"/>
          <w:szCs w:val="22"/>
        </w:rPr>
        <w:t xml:space="preserve">Senior Equity Analyst — AI &amp; Frontier Platforms Coverage</w:t>
      </w:r>
    </w:p>
    <w:p>
      <w:pPr>
        <w:spacing w:after="0" w:before="600"/>
      </w:pPr>
      <w:r>
        <w:rPr>
          <w:rFonts w:ascii="Arial" w:cs="Arial" w:eastAsia="Arial" w:hAnsi="Arial"/>
          <w:i/>
          <w:iCs/>
          <w:color w:val="1B4F8C"/>
          <w:sz w:val="18"/>
          <w:szCs w:val="18"/>
        </w:rPr>
        <w:t xml:space="preserve">v2 expansion adds: training/inference compute regimes, GPU vs. TPU architectural deep dive, neoclouds, memory market structure, agentic-runtime layer, and broader player coverage (Apple, MiniMax, Tencent, Baidu).</w:t>
      </w:r>
    </w:p>
    <w:p>
      <w:r>
        <w:br w:type="page"/>
      </w:r>
    </w:p>
    <w:p>
      <w:pPr>
        <w:pStyle w:val="Heading1"/>
        <w:spacing w:after="200" w:before="360"/>
      </w:pPr>
      <w:r>
        <w:rPr>
          <w:rFonts w:ascii="Arial" w:cs="Arial" w:eastAsia="Arial" w:hAnsi="Arial"/>
          <w:b/>
          <w:bCs/>
          <w:color w:val="0B2545"/>
          <w:sz w:val="32"/>
          <w:szCs w:val="32"/>
        </w:rPr>
        <w:t xml:space="preserve">1. Executive Summary</w:t>
      </w:r>
    </w:p>
    <w:p>
      <w:pPr>
        <w:spacing w:after="120" w:before="0" w:line="280"/>
        <w:jc w:val="both"/>
      </w:pPr>
      <w:r>
        <w:rPr>
          <w:rFonts w:ascii="Arial" w:cs="Arial" w:eastAsia="Arial" w:hAnsi="Arial"/>
          <w:b w:val="false"/>
          <w:bCs w:val="false"/>
          <w:i w:val="false"/>
          <w:iCs w:val="false"/>
          <w:color w:val="1D2939"/>
          <w:sz w:val="20"/>
          <w:szCs w:val="20"/>
        </w:rPr>
        <w:t xml:space="preserve">The AI industry has bifurcated into two strategically distinct camps — Closed-Weight (proprietary frontier) developers and Open-Weight (publishable-weights) developers. This divide is the single most important structural feature of the AI stack today. It dictates monetization models, capex intensity, customer acquisition costs, geopolitical exposure, and ultimately the investable universe available to public-market allocators.</w:t>
      </w:r>
    </w:p>
    <w:p>
      <w:pPr>
        <w:spacing w:after="120" w:before="0" w:line="280"/>
        <w:jc w:val="both"/>
      </w:pPr>
      <w:r>
        <w:rPr>
          <w:rFonts w:ascii="Arial" w:cs="Arial" w:eastAsia="Arial" w:hAnsi="Arial"/>
          <w:b w:val="false"/>
          <w:bCs w:val="false"/>
          <w:i w:val="false"/>
          <w:iCs w:val="false"/>
          <w:color w:val="1D2939"/>
          <w:sz w:val="20"/>
          <w:szCs w:val="20"/>
        </w:rPr>
        <w:t xml:space="preserve">Our central thesis is that the two camps are not substitutes — they are complements that will coexist, with closed-weight labs (OpenAI, Anthropic, Google DeepMind) capturing the majority of high-value enterprise and agentic-workload revenue pools, while open-weight families (Meta Llama, Mistral, DeepSeek, Alibaba Qwen, Zhipu GLM, MiniMax, Moonshot Kimi, Tencent Hunyuan, Baidu ERNIE) commoditize the base-intelligence layer and push inference pricing toward marginal cost. The capability gap between the two camps has narrowed to single-digit percentage points on most benchmarks, but a durable gap persists in frontier reasoning, safety tuning, agentic reliability, and enterprise tooling — which is precisely where the rents live.</w:t>
      </w:r>
    </w:p>
    <w:p>
      <w:pPr>
        <w:spacing w:after="120" w:before="0" w:line="280"/>
        <w:jc w:val="both"/>
      </w:pPr>
      <w:r>
        <w:rPr>
          <w:rFonts w:ascii="Arial" w:cs="Arial" w:eastAsia="Arial" w:hAnsi="Arial"/>
          <w:b w:val="false"/>
          <w:bCs w:val="false"/>
          <w:i w:val="false"/>
          <w:iCs w:val="false"/>
          <w:color w:val="1D2939"/>
          <w:sz w:val="20"/>
          <w:szCs w:val="20"/>
        </w:rPr>
        <w:t xml:space="preserve">This v2 update broadens the analytical aperture along five dimensions the prior note under-treated: (1) the full Chinese open-weight cohort beyond DeepSeek, including MiniMax, Tencent Hunyuan, and Baidu ERNIE; (2) Apple's emerging position as the dominant hardware vendor for local/at-home AI inference; (3) the agentic runtime layer (MCP, OpenClaw, AGENTS.md, Cursor Composer) that increasingly mediates how models reach end users; (4) the structural distinction between training and inference compute, and what that means for chip economics; and (5) deeper treatment of the GPU-vs-TPU debate, the neocloud GPU-rental tier (CoreWeave, Nebius, Applied Digital, Oracle), and the HBM/NAND memory complex.</w:t>
      </w:r>
    </w:p>
    <w:p>
      <w:pPr>
        <w:spacing w:after="120" w:before="0" w:line="280"/>
        <w:jc w:val="both"/>
      </w:pPr>
      <w:r>
        <w:rPr>
          <w:rFonts w:ascii="Arial" w:cs="Arial" w:eastAsia="Arial" w:hAnsi="Arial"/>
          <w:b w:val="false"/>
          <w:bCs w:val="false"/>
          <w:i w:val="false"/>
          <w:iCs w:val="false"/>
          <w:color w:val="1D2939"/>
          <w:sz w:val="20"/>
          <w:szCs w:val="20"/>
        </w:rPr>
        <w:t xml:space="preserve">Key takeaways for the MD:</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Capital concentration is unprecedented: </w:t>
      </w:r>
      <w:r>
        <w:rPr>
          <w:rFonts w:ascii="Arial" w:cs="Arial" w:eastAsia="Arial" w:hAnsi="Arial"/>
          <w:b w:val="false"/>
          <w:bCs w:val="false"/>
          <w:i w:val="false"/>
          <w:iCs w:val="false"/>
          <w:color w:val="1D2939"/>
          <w:sz w:val="20"/>
          <w:szCs w:val="20"/>
        </w:rPr>
        <w:t xml:space="preserve">Q1 2026 saw four deals — OpenAI, Anthropic, xAI, Waymo — absorb approximately 65% of global venture funding ($188B of $290B). AI's share of total VC jumped from ~55% to ~81% QoQ.</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Private valuations have dislocated: </w:t>
      </w:r>
      <w:r>
        <w:rPr>
          <w:rFonts w:ascii="Arial" w:cs="Arial" w:eastAsia="Arial" w:hAnsi="Arial"/>
          <w:b w:val="false"/>
          <w:bCs w:val="false"/>
          <w:i w:val="false"/>
          <w:iCs w:val="false"/>
          <w:color w:val="1D2939"/>
          <w:sz w:val="20"/>
          <w:szCs w:val="20"/>
        </w:rPr>
        <w:t xml:space="preserve">OpenAI closed its latest round at $852B post-money (February 2026); Anthropic at $380B with secondary market marks reportedly reaching $1T. VC bids for Anthropic at $800B+ are currently being declined.</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Inference compute has overtaken training compute industry-wide. </w:t>
      </w:r>
      <w:r>
        <w:rPr>
          <w:rFonts w:ascii="Arial" w:cs="Arial" w:eastAsia="Arial" w:hAnsi="Arial"/>
          <w:b w:val="false"/>
          <w:bCs w:val="false"/>
          <w:i w:val="false"/>
          <w:iCs w:val="false"/>
          <w:color w:val="1D2939"/>
          <w:sz w:val="20"/>
          <w:szCs w:val="20"/>
        </w:rPr>
        <w:t xml:space="preserve">The reasoning-model paradigm (Anthropic Claude 4.6 reasoning, OpenAI GPT-5.4 thinking, Gemini 3.1 Pro Deep Think) has shifted the dominant compute consumer from one-time training runs to per-query inference. This has reshaped chip demand toward higher-volume, lower-precision, lower-latency silicon — an architectural inflection that benefits AVGO, MRVL, and hyperscaler custom ASICs more than it benefits training-optimized GPUs.</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Supply chain remains the binding constraint: </w:t>
      </w:r>
      <w:r>
        <w:rPr>
          <w:rFonts w:ascii="Arial" w:cs="Arial" w:eastAsia="Arial" w:hAnsi="Arial"/>
          <w:b w:val="false"/>
          <w:bCs w:val="false"/>
          <w:i w:val="false"/>
          <w:iCs w:val="false"/>
          <w:color w:val="1D2939"/>
          <w:sz w:val="20"/>
          <w:szCs w:val="20"/>
        </w:rPr>
        <w:t xml:space="preserve">TSMC 2nm capacity is fully booked through 2028, CoWoS advanced packaging is sold out through mid-2026, and SK Hynix HBM is fully allocated for all of 2026. The AI buildout is compute-constrained, not demand-constrained.</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The Chinese open-weight surge is the most underappreciated strategic threat. </w:t>
      </w:r>
      <w:r>
        <w:rPr>
          <w:rFonts w:ascii="Arial" w:cs="Arial" w:eastAsia="Arial" w:hAnsi="Arial"/>
          <w:b w:val="false"/>
          <w:bCs w:val="false"/>
          <w:i w:val="false"/>
          <w:iCs w:val="false"/>
          <w:color w:val="1D2939"/>
          <w:sz w:val="20"/>
          <w:szCs w:val="20"/>
        </w:rPr>
        <w:t xml:space="preserve">Beyond DeepSeek, the cohort now includes Alibaba Qwen 3.5 (#1 on several open leaderboards), Zhipu GLM-5.1 (744B params, 8-hour autonomous agents), Moonshot Kimi K2.6 (1T params), MiniMax M2.5 (cost-leader), Tencent Hunyuan, and Baidu ERNIE-X1. DeepSeek V4 expected to ship on Huawei Ascend 950PR at $0.14–$0.30/M tokens — ~90% below frontier closed pricing.</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Apple is the quiet hardware winner of the local-AI thesis. </w:t>
      </w:r>
      <w:r>
        <w:rPr>
          <w:rFonts w:ascii="Arial" w:cs="Arial" w:eastAsia="Arial" w:hAnsi="Arial"/>
          <w:b w:val="false"/>
          <w:bCs w:val="false"/>
          <w:i w:val="false"/>
          <w:iCs w:val="false"/>
          <w:color w:val="1D2939"/>
          <w:sz w:val="20"/>
          <w:szCs w:val="20"/>
        </w:rPr>
        <w:t xml:space="preserve">M3 Ultra Mac Studio configurations with up to 512GB unified memory have become the de facto reference platform for at-home and small-business AI labs running Llama, Qwen, DeepSeek, and Mistral locally. MLX framework adoption is climbing. Apple is not a model winner but is increasingly an AI-hardware winner — a vector the prior report did not capture.</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Neoclouds offer pure-play AI capex exposure outside the hyperscalers. </w:t>
      </w:r>
      <w:r>
        <w:rPr>
          <w:rFonts w:ascii="Arial" w:cs="Arial" w:eastAsia="Arial" w:hAnsi="Arial"/>
          <w:b w:val="false"/>
          <w:bCs w:val="false"/>
          <w:i w:val="false"/>
          <w:iCs w:val="false"/>
          <w:color w:val="1D2939"/>
          <w:sz w:val="20"/>
          <w:szCs w:val="20"/>
        </w:rPr>
        <w:t xml:space="preserve">CoreWeave (CRWV), Nebius (NBIS), Applied Digital (APLD), and Oracle (ORCL) each represent distinct angles on the GPU-rental thesis — from NVIDIA-aligned capacity providers to vertically-integrated power-and-rack operators. We initiate Overweight on CRWV and NBIS.</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Memory is the second binding constraint after CoWoS. </w:t>
      </w:r>
      <w:r>
        <w:rPr>
          <w:rFonts w:ascii="Arial" w:cs="Arial" w:eastAsia="Arial" w:hAnsi="Arial"/>
          <w:b w:val="false"/>
          <w:bCs w:val="false"/>
          <w:i w:val="false"/>
          <w:iCs w:val="false"/>
          <w:color w:val="1D2939"/>
          <w:sz w:val="20"/>
          <w:szCs w:val="20"/>
        </w:rPr>
        <w:t xml:space="preserve">SK Hynix (~62% HBM share, ~90% of NVDA HBM), Samsung (HBM4 catch-up), Micron (HBM4 ramp 2026), and the newly-spun Sandisk (NAND pure-play, post-WD spin in Feb 2025) deserve dedicated coverage. HBM is now ~30% of total DRAM revenue from only 8% of bit output — the most price-elastic segment in the entire memory complex.</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Public-market exposure paths have widened materially: </w:t>
      </w:r>
      <w:r>
        <w:rPr>
          <w:rFonts w:ascii="Arial" w:cs="Arial" w:eastAsia="Arial" w:hAnsi="Arial"/>
          <w:b w:val="false"/>
          <w:bCs w:val="false"/>
          <w:i w:val="false"/>
          <w:iCs w:val="false"/>
          <w:color w:val="1D2939"/>
          <w:sz w:val="20"/>
          <w:szCs w:val="20"/>
        </w:rPr>
        <w:t xml:space="preserve">The ARK Venture Fund (ARKVX), Destiny Tech100 (DXYZ), AngelList USVC, and Robinhood Ventures Fund I have meaningfully democratized pre-IPO access to OpenAI, Anthropic, xAI, and SpaceX at accessible minimums.</w:t>
      </w:r>
    </w:p>
    <w:p>
      <w:pPr>
        <w:spacing w:after="120" w:before="0" w:line="280"/>
        <w:jc w:val="both"/>
      </w:pPr>
      <w:r>
        <w:rPr>
          <w:rFonts w:ascii="Arial" w:cs="Arial" w:eastAsia="Arial" w:hAnsi="Arial"/>
          <w:b w:val="false"/>
          <w:bCs w:val="false"/>
          <w:i w:val="false"/>
          <w:iCs w:val="false"/>
          <w:color w:val="1D2939"/>
          <w:sz w:val="20"/>
          <w:szCs w:val="20"/>
        </w:rPr>
        <w:t xml:space="preserve">We recommend the desk maintain overweight exposure to the compute, packaging, and HBM supply chain (NVDA, TSM, ASML, 000660.KS / SK Hynix, AVGO, MU) regardless of which model camp ultimately captures more value. These are the picks-and-shovels names with structurally supply-constrained economics. On the model side, we favor Alphabet (GOOGL) for its vertical integration across TPUs, cloud, and Gemini, and Microsoft (MSFT) for its 27% equity stake plus 20% revenue-share in OpenAI. On the neocloud tier we initiate Overweight CRWV and NBIS. On the local-AI hardware angle we add AAPL as a tactical Overweight.</w:t>
      </w:r>
    </w:p>
    <w:p>
      <w:r>
        <w:br w:type="page"/>
      </w:r>
    </w:p>
    <w:p>
      <w:pPr>
        <w:pStyle w:val="Heading1"/>
        <w:spacing w:after="200" w:before="360"/>
      </w:pPr>
      <w:r>
        <w:rPr>
          <w:rFonts w:ascii="Arial" w:cs="Arial" w:eastAsia="Arial" w:hAnsi="Arial"/>
          <w:b/>
          <w:bCs/>
          <w:color w:val="0B2545"/>
          <w:sz w:val="32"/>
          <w:szCs w:val="32"/>
        </w:rPr>
        <w:t xml:space="preserve">2. Open-Weight vs. Closed AI: The Core Distinction</w:t>
      </w:r>
    </w:p>
    <w:p>
      <w:pPr>
        <w:pStyle w:val="Heading2"/>
        <w:spacing w:after="160" w:before="280"/>
      </w:pPr>
      <w:r>
        <w:rPr>
          <w:rFonts w:ascii="Arial" w:cs="Arial" w:eastAsia="Arial" w:hAnsi="Arial"/>
          <w:b/>
          <w:bCs/>
          <w:color w:val="1B4F8C"/>
          <w:sz w:val="26"/>
          <w:szCs w:val="26"/>
        </w:rPr>
        <w:t xml:space="preserve">2.1 Definitions and Technical Framework</w:t>
      </w:r>
    </w:p>
    <w:p>
      <w:pPr>
        <w:spacing w:after="120" w:before="0" w:line="280"/>
        <w:jc w:val="both"/>
      </w:pPr>
      <w:r>
        <w:rPr>
          <w:rFonts w:ascii="Arial" w:cs="Arial" w:eastAsia="Arial" w:hAnsi="Arial"/>
          <w:b/>
          <w:bCs/>
          <w:i w:val="false"/>
          <w:iCs w:val="false"/>
          <w:color w:val="1D2939"/>
          <w:sz w:val="20"/>
          <w:szCs w:val="20"/>
        </w:rPr>
        <w:t xml:space="preserve">Closed-weight (proprietary) AI models </w:t>
      </w:r>
      <w:r>
        <w:rPr>
          <w:rFonts w:ascii="Arial" w:cs="Arial" w:eastAsia="Arial" w:hAnsi="Arial"/>
          <w:b w:val="false"/>
          <w:bCs w:val="false"/>
          <w:i w:val="false"/>
          <w:iCs w:val="false"/>
          <w:color w:val="1D2939"/>
          <w:sz w:val="20"/>
          <w:szCs w:val="20"/>
        </w:rPr>
        <w:t xml:space="preserve">are trained by private labs that retain exclusive control over the model's parameters (weights), training data, training code, and inference infrastructure. Access is gated through commercial APIs or productized applications. Examples: OpenAI's GPT-5.4, Anthropic's Claude Opus 4.6 / Mythos 5, Google DeepMind's Gemini 3.1 Pro, xAI's Grok 4.20, Apple's on-device Apple Intelligence stack and Private Cloud Compute, Tencent Hunyuan T1 (the closed flagship), and Baidu ERNIE 5.0.</w:t>
      </w:r>
    </w:p>
    <w:p>
      <w:pPr>
        <w:spacing w:after="120" w:before="0" w:line="280"/>
        <w:jc w:val="both"/>
      </w:pPr>
      <w:r>
        <w:rPr>
          <w:rFonts w:ascii="Arial" w:cs="Arial" w:eastAsia="Arial" w:hAnsi="Arial"/>
          <w:b/>
          <w:bCs/>
          <w:i w:val="false"/>
          <w:iCs w:val="false"/>
          <w:color w:val="1D2939"/>
          <w:sz w:val="20"/>
          <w:szCs w:val="20"/>
        </w:rPr>
        <w:t xml:space="preserve">Open-weight AI models </w:t>
      </w:r>
      <w:r>
        <w:rPr>
          <w:rFonts w:ascii="Arial" w:cs="Arial" w:eastAsia="Arial" w:hAnsi="Arial"/>
          <w:b w:val="false"/>
          <w:bCs w:val="false"/>
          <w:i w:val="false"/>
          <w:iCs w:val="false"/>
          <w:color w:val="1D2939"/>
          <w:sz w:val="20"/>
          <w:szCs w:val="20"/>
        </w:rPr>
        <w:t xml:space="preserve">are models whose trained parameters are publicly released for download, allowing any party to self-host, fine-tune, and redistribute. Important nuance: "open weight" is not the same as "open source" in the OSI sense. True open source requires training data, training code, AND weights to all be released — this bar is met by very few models (AI2's OLMo is one). Meta's Llama license, for example, restricts commercial use above 700M MAU and is technically "open weight / source-available," not open source. The Chinese open-weight cohort (DeepSeek, Qwen, GLM, Kimi, MiniMax, Hunyuan-Open, ERNIE-X) tends toward more permissive licenses (MIT, Apache 2.0) than Meta's.</w:t>
      </w:r>
    </w:p>
    <w:p>
      <w:pPr>
        <w:spacing w:after="120" w:before="0" w:line="280"/>
        <w:jc w:val="both"/>
      </w:pPr>
      <w:r>
        <w:rPr>
          <w:rFonts w:ascii="Arial" w:cs="Arial" w:eastAsia="Arial" w:hAnsi="Arial"/>
          <w:b/>
          <w:bCs/>
          <w:i w:val="false"/>
          <w:iCs w:val="false"/>
          <w:color w:val="1D2939"/>
          <w:sz w:val="20"/>
          <w:szCs w:val="20"/>
        </w:rPr>
        <w:t xml:space="preserve">The critical commercial distinction: </w:t>
      </w:r>
      <w:r>
        <w:rPr>
          <w:rFonts w:ascii="Arial" w:cs="Arial" w:eastAsia="Arial" w:hAnsi="Arial"/>
          <w:b w:val="false"/>
          <w:bCs w:val="false"/>
          <w:i w:val="false"/>
          <w:iCs w:val="false"/>
          <w:color w:val="1D2939"/>
          <w:sz w:val="20"/>
          <w:szCs w:val="20"/>
        </w:rPr>
        <w:t xml:space="preserve">open-weight models can be deployed on a customer's own infrastructure with no per-token API fees, making them structurally deflationary to inference pricing industry-wide. Closed-weight models retain pricing power through capability advantage, safety tuning, enterprise integration, and ecosystem lock-in. The binary "open vs. closed" framing also obscures a third category that has grown materially in 2026: </w:t>
      </w:r>
      <w:r>
        <w:rPr>
          <w:rFonts w:ascii="Arial" w:cs="Arial" w:eastAsia="Arial" w:hAnsi="Arial"/>
          <w:b/>
          <w:bCs/>
          <w:i w:val="false"/>
          <w:iCs w:val="false"/>
          <w:color w:val="1D2939"/>
          <w:sz w:val="20"/>
          <w:szCs w:val="20"/>
        </w:rPr>
        <w:t xml:space="preserve">hybrid-stack vendors</w:t>
      </w:r>
      <w:r>
        <w:rPr>
          <w:rFonts w:ascii="Arial" w:cs="Arial" w:eastAsia="Arial" w:hAnsi="Arial"/>
          <w:b w:val="false"/>
          <w:bCs w:val="false"/>
          <w:i w:val="false"/>
          <w:iCs w:val="false"/>
          <w:color w:val="1D2939"/>
          <w:sz w:val="20"/>
          <w:szCs w:val="20"/>
        </w:rPr>
        <w:t xml:space="preserve"> — companies like Apple, Tencent, Alibaba, and Baidu that maintain a closed flagship for first-party products while simultaneously releasing competitive open-weight derivatives. This bifurcated strategy lets them commoditize competitors' moats while protecting their own. Apple's Apple Intelligence (closed) coexists with the open-source MLX framework. Tencent's Hunyuan T1 (closed flagship) coexists with Hunyuan-Open and Hunyuan-Video (both open). Alibaba's Qwen-Max (closed cloud SKU) coexists with the Qwen 3.5 open family.</w:t>
      </w:r>
    </w:p>
    <w:p>
      <w:pPr>
        <w:pStyle w:val="Heading2"/>
        <w:spacing w:after="160" w:before="280"/>
      </w:pPr>
      <w:r>
        <w:rPr>
          <w:rFonts w:ascii="Arial" w:cs="Arial" w:eastAsia="Arial" w:hAnsi="Arial"/>
          <w:b/>
          <w:bCs/>
          <w:color w:val="1B4F8C"/>
          <w:sz w:val="26"/>
          <w:szCs w:val="26"/>
        </w:rPr>
        <w:t xml:space="preserve">2.2 Architectural Convergence</w:t>
      </w:r>
    </w:p>
    <w:p>
      <w:pPr>
        <w:spacing w:after="120" w:before="0" w:line="280"/>
        <w:jc w:val="both"/>
      </w:pPr>
      <w:r>
        <w:rPr>
          <w:rFonts w:ascii="Arial" w:cs="Arial" w:eastAsia="Arial" w:hAnsi="Arial"/>
          <w:b w:val="false"/>
          <w:bCs w:val="false"/>
          <w:i w:val="false"/>
          <w:iCs w:val="false"/>
          <w:color w:val="1D2939"/>
          <w:sz w:val="20"/>
          <w:szCs w:val="20"/>
        </w:rPr>
        <w:t xml:space="preserve">Both camps have converged on similar architectural paradigms in 2026: sparse Mixture-of-Experts (MoE) as the dominant architecture, reasoning-mode models (chain-of-thought with scaled inference-time compute), multimodal-native design, and agentic tool-use as the frontier capability. The DeepSeek V3/R1 releases of late 2024 forced convergence by demonstrating frontier-level performance at a fraction of training cost. This architectural commoditization is precisely what has compressed the performance gap between camps.</w:t>
      </w:r>
    </w:p>
    <w:p>
      <w:pPr>
        <w:spacing w:after="120" w:before="0" w:line="280"/>
        <w:jc w:val="both"/>
      </w:pPr>
      <w:r>
        <w:rPr>
          <w:rFonts w:ascii="Arial" w:cs="Arial" w:eastAsia="Arial" w:hAnsi="Arial"/>
          <w:b w:val="false"/>
          <w:bCs w:val="false"/>
          <w:i w:val="false"/>
          <w:iCs w:val="false"/>
          <w:color w:val="1D2939"/>
          <w:sz w:val="20"/>
          <w:szCs w:val="20"/>
        </w:rPr>
        <w:t xml:space="preserve">The most important architectural shift of 2025–26 has been the move from dense transformers to sparse MoE with very high expert counts. DeepSeek V3 (256 experts), Qwen3-Coder (480B-A35B), Kimi K2 (384 experts), GLM-5 (744B with high sparsity), and Mistral Small 4 (128 experts) all share the same fundamental pattern: total parameter counts in the hundreds of billions to over a trillion, with active parameters per token of only 20–40B. This architecture is the primary reason inference costs have fallen ~10× year-over-year while capability has continued to improve — only a small fraction of the model is activated for any given token, but the model retains the capacity advantages of large parameter counts.</w:t>
      </w:r>
    </w:p>
    <w:p>
      <w:pPr>
        <w:spacing w:after="120" w:before="0" w:line="280"/>
        <w:jc w:val="both"/>
      </w:pPr>
      <w:r>
        <w:rPr>
          <w:rFonts w:ascii="Arial" w:cs="Arial" w:eastAsia="Arial" w:hAnsi="Arial"/>
          <w:b w:val="false"/>
          <w:bCs w:val="false"/>
          <w:i w:val="false"/>
          <w:iCs w:val="false"/>
          <w:color w:val="1D2939"/>
          <w:sz w:val="20"/>
          <w:szCs w:val="20"/>
        </w:rPr>
        <w:t xml:space="preserve">A second architectural shift is the integration of reasoning into model defaults. Where 2024 reasoning models (OpenAI o1, DeepSeek R1) were separate SKUs invoked explicitly, 2026 frontier models (GPT-5.4, Claude Opus 4.6, Gemini 3.1 Pro) integrate reasoning as a routing decision made by the model itself. This has profound implications for inference economics: the model now decides how much compute to spend per query, which shifts the economic question from "which model should I use?" to "how much should I let the model think?" That decision is increasingly made by an agentic runtime layer — covered in Section 5 — rather than by the end user directly.</w:t>
      </w:r>
    </w:p>
    <w:p>
      <w:pPr>
        <w:pStyle w:val="Heading1"/>
        <w:spacing w:after="200" w:before="360"/>
      </w:pPr>
      <w:r>
        <w:rPr>
          <w:rFonts w:ascii="Arial" w:cs="Arial" w:eastAsia="Arial" w:hAnsi="Arial"/>
          <w:b/>
          <w:bCs/>
          <w:color w:val="0B2545"/>
          <w:sz w:val="32"/>
          <w:szCs w:val="32"/>
        </w:rPr>
        <w:t xml:space="preserve">3. How Each Side Wins: Strategic Frameworks</w:t>
      </w:r>
    </w:p>
    <w:p>
      <w:pPr>
        <w:spacing w:after="120" w:before="0" w:line="280"/>
        <w:jc w:val="both"/>
      </w:pPr>
      <w:r>
        <w:rPr>
          <w:rFonts w:ascii="Arial" w:cs="Arial" w:eastAsia="Arial" w:hAnsi="Arial"/>
          <w:b w:val="false"/>
          <w:bCs w:val="false"/>
          <w:i w:val="false"/>
          <w:iCs w:val="false"/>
          <w:color w:val="1D2939"/>
          <w:sz w:val="20"/>
          <w:szCs w:val="20"/>
        </w:rPr>
        <w:t xml:space="preserve">The two camps are pursuing fundamentally different value-capture strategies. A common analyst mistake is to treat them as competing within the same game. They are not — they are playing adjacent games, and the "winner" determination depends on where along the stack one measures.</w:t>
      </w:r>
    </w:p>
    <w:p>
      <w:pPr>
        <w:pStyle w:val="Heading2"/>
        <w:spacing w:after="160" w:before="280"/>
      </w:pPr>
      <w:r>
        <w:rPr>
          <w:rFonts w:ascii="Arial" w:cs="Arial" w:eastAsia="Arial" w:hAnsi="Arial"/>
          <w:b/>
          <w:bCs/>
          <w:color w:val="1B4F8C"/>
          <w:sz w:val="26"/>
          <w:szCs w:val="26"/>
        </w:rPr>
        <w:t xml:space="preserve">3.1 The Two Victory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Dimension</w:t>
            </w:r>
          </w:p>
        </w:tc>
        <w:tc>
          <w:tcPr>
            <w:tcW w:type="dxa" w:w="358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Closed-Weight Victory Condition</w:t>
            </w:r>
          </w:p>
        </w:tc>
        <w:tc>
          <w:tcPr>
            <w:tcW w:type="dxa" w:w="358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Open-Weight Victory Condition</w:t>
            </w:r>
          </w:p>
        </w:tc>
      </w:tr>
      <w:tr>
        <w:trPr>
          <w:tblHeader w:val="false"/>
        </w:trPr>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bCs/>
                <w:color w:val="1D2939"/>
                <w:sz w:val="18"/>
                <w:szCs w:val="18"/>
              </w:rPr>
              <w:t xml:space="preserve">Primary KPI</w:t>
            </w:r>
          </w:p>
        </w:tc>
        <w:tc>
          <w:tcPr>
            <w:tcW w:type="dxa" w:w="358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Revenue per token, enterprise ARR, and agentic workload share</w:t>
            </w:r>
          </w:p>
        </w:tc>
        <w:tc>
          <w:tcPr>
            <w:tcW w:type="dxa" w:w="358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Download/deployment share, developer ecosystem depth, API cost-per-token below closed competitors</w:t>
            </w:r>
          </w:p>
        </w:tc>
      </w:tr>
      <w:tr>
        <w:trPr>
          <w:tblHeader w:val="false"/>
        </w:trPr>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1D2939"/>
                <w:sz w:val="18"/>
                <w:szCs w:val="18"/>
              </w:rPr>
              <w:t xml:space="preserve">Moat construction</w:t>
            </w:r>
          </w:p>
        </w:tc>
        <w:tc>
          <w:tcPr>
            <w:tcW w:type="dxa" w:w="358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Capability lead on frontier benchmarks; proprietary RLHF/safety data; enterprise distribution (MSFT/OpenAI, AWS/Anthropic, GOOGL/Anthropic via Vertex)</w:t>
            </w:r>
          </w:p>
        </w:tc>
        <w:tc>
          <w:tcPr>
            <w:tcW w:type="dxa" w:w="358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Commoditize intelligence layer; force closed labs to compete on service not capability; capture developer mindshare via Hugging Face, Ollama, MLX</w:t>
            </w:r>
          </w:p>
        </w:tc>
      </w:tr>
      <w:tr>
        <w:trPr>
          <w:tblHeader w:val="false"/>
        </w:trPr>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bCs/>
                <w:color w:val="1D2939"/>
                <w:sz w:val="18"/>
                <w:szCs w:val="18"/>
              </w:rPr>
              <w:t xml:space="preserve">Monetization</w:t>
            </w:r>
          </w:p>
        </w:tc>
        <w:tc>
          <w:tcPr>
            <w:tcW w:type="dxa" w:w="358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API pricing power + consumer subscription (ChatGPT Plus, Claude Pro) + enterprise seat licensing</w:t>
            </w:r>
          </w:p>
        </w:tc>
        <w:tc>
          <w:tcPr>
            <w:tcW w:type="dxa" w:w="358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Adjacent businesses: Meta monetizes via ad engagement; Alibaba and Tencent via cloud; Baidu via search/ads; Apple via hardware; Mistral via inference service</w:t>
            </w:r>
          </w:p>
        </w:tc>
      </w:tr>
      <w:tr>
        <w:trPr>
          <w:tblHeader w:val="false"/>
        </w:trPr>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1D2939"/>
                <w:sz w:val="18"/>
                <w:szCs w:val="18"/>
              </w:rPr>
              <w:t xml:space="preserve">Cost structure</w:t>
            </w:r>
          </w:p>
        </w:tc>
        <w:tc>
          <w:tcPr>
            <w:tcW w:type="dxa" w:w="358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Training capex: $5B–$20B per frontier model generation; gross margins pressured by inference</w:t>
            </w:r>
          </w:p>
        </w:tc>
        <w:tc>
          <w:tcPr>
            <w:tcW w:type="dxa" w:w="358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Training cost shared across community; marginal distribution cost near zero; revenue capture downstream</w:t>
            </w:r>
          </w:p>
        </w:tc>
      </w:tr>
      <w:tr>
        <w:trPr>
          <w:tblHeader w:val="false"/>
        </w:trPr>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bCs/>
                <w:color w:val="1D2939"/>
                <w:sz w:val="18"/>
                <w:szCs w:val="18"/>
              </w:rPr>
              <w:t xml:space="preserve">Geopolitical posture</w:t>
            </w:r>
          </w:p>
        </w:tc>
        <w:tc>
          <w:tcPr>
            <w:tcW w:type="dxa" w:w="358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Aligned with Western export-control regime; partner with NVDA / hyperscaler cloud</w:t>
            </w:r>
          </w:p>
        </w:tc>
        <w:tc>
          <w:tcPr>
            <w:tcW w:type="dxa" w:w="358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Chinese open-weight labs (DeepSeek, Qwen, Zhipu, MiniMax, Tencent, Baidu) use openness to bypass hardware restrictions and build global developer adoption</w:t>
            </w:r>
          </w:p>
        </w:tc>
      </w:tr>
      <w:tr>
        <w:trPr>
          <w:tblHeader w:val="false"/>
        </w:trPr>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1D2939"/>
                <w:sz w:val="18"/>
                <w:szCs w:val="18"/>
              </w:rPr>
              <w:t xml:space="preserve">End-game</w:t>
            </w:r>
          </w:p>
        </w:tc>
        <w:tc>
          <w:tcPr>
            <w:tcW w:type="dxa" w:w="358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Sustained frontier lead → AGI-adjacent product → platform dominance equivalent to Windows/iOS</w:t>
            </w:r>
          </w:p>
        </w:tc>
        <w:tc>
          <w:tcPr>
            <w:tcW w:type="dxa" w:w="358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Commoditize model layer → extract value at inference, data, application, and hardware layers</w:t>
            </w:r>
          </w:p>
        </w:tc>
      </w:tr>
    </w:tbl>
    <w:p>
      <w:pPr>
        <w:spacing w:after="120" w:before="0"/>
      </w:pPr>
      <w:r>
        <w:t xml:space="preserve"/>
      </w:r>
    </w:p>
    <w:p>
      <w:pPr>
        <w:pStyle w:val="Heading2"/>
        <w:spacing w:after="160" w:before="280"/>
      </w:pPr>
      <w:r>
        <w:rPr>
          <w:rFonts w:ascii="Arial" w:cs="Arial" w:eastAsia="Arial" w:hAnsi="Arial"/>
          <w:b/>
          <w:bCs/>
          <w:color w:val="1B4F8C"/>
          <w:sz w:val="26"/>
          <w:szCs w:val="26"/>
        </w:rPr>
        <w:t xml:space="preserve">3.2 Closed-Weight Playbook: Capture the Capability Rent</w:t>
      </w:r>
    </w:p>
    <w:p>
      <w:pPr>
        <w:spacing w:after="120" w:before="0" w:line="280"/>
        <w:jc w:val="both"/>
      </w:pPr>
      <w:r>
        <w:rPr>
          <w:rFonts w:ascii="Arial" w:cs="Arial" w:eastAsia="Arial" w:hAnsi="Arial"/>
          <w:b w:val="false"/>
          <w:bCs w:val="false"/>
          <w:i w:val="false"/>
          <w:iCs w:val="false"/>
          <w:color w:val="1D2939"/>
          <w:sz w:val="20"/>
          <w:szCs w:val="20"/>
        </w:rPr>
        <w:t xml:space="preserve">Closed-weight labs operate on a simple thesis: the capability frontier is worth paying for. If a model can automate a $150,000 software engineer's output — as Anthropic's Claude Code increasingly does — then charging $200/month per seat captures only a fraction of the value created. The scale economics work because training costs are fixed while revenue scales linearly with enterprise seat count. OpenAI reached ~$25B in annualized revenue by April 2026 (up from $13.1B for full-year 2025), and Anthropic reportedly touched $30B annualized, up from $9B at end-2025. These are software-like growth rates at infrastructure-like scale.</w:t>
      </w:r>
    </w:p>
    <w:p>
      <w:pPr>
        <w:spacing w:after="120" w:before="0" w:line="280"/>
        <w:jc w:val="both"/>
      </w:pPr>
      <w:r>
        <w:rPr>
          <w:rFonts w:ascii="Arial" w:cs="Arial" w:eastAsia="Arial" w:hAnsi="Arial"/>
          <w:b w:val="false"/>
          <w:bCs w:val="false"/>
          <w:i w:val="false"/>
          <w:iCs w:val="false"/>
          <w:color w:val="1D2939"/>
          <w:sz w:val="20"/>
          <w:szCs w:val="20"/>
        </w:rPr>
        <w:t xml:space="preserve">The strategic risk is that capability convergence erodes pricing power faster than costs decline. Anthropic's viral adoption of Claude Code has driven an estimated $2 trillion in software-sector market cap destruction as investors recalibrate the TAM for horizontal SaaS. This is the AI labs' own customers they are disintermediating.</w:t>
      </w:r>
    </w:p>
    <w:p>
      <w:pPr>
        <w:pStyle w:val="Heading2"/>
        <w:spacing w:after="160" w:before="280"/>
      </w:pPr>
      <w:r>
        <w:rPr>
          <w:rFonts w:ascii="Arial" w:cs="Arial" w:eastAsia="Arial" w:hAnsi="Arial"/>
          <w:b/>
          <w:bCs/>
          <w:color w:val="1B4F8C"/>
          <w:sz w:val="26"/>
          <w:szCs w:val="26"/>
        </w:rPr>
        <w:t xml:space="preserve">3.3 Open-Weight Playbook: Commoditize Your Complements</w:t>
      </w:r>
    </w:p>
    <w:p>
      <w:pPr>
        <w:spacing w:after="120" w:before="0" w:line="280"/>
        <w:jc w:val="both"/>
      </w:pPr>
      <w:r>
        <w:rPr>
          <w:rFonts w:ascii="Arial" w:cs="Arial" w:eastAsia="Arial" w:hAnsi="Arial"/>
          <w:b w:val="false"/>
          <w:bCs w:val="false"/>
          <w:i w:val="false"/>
          <w:iCs w:val="false"/>
          <w:color w:val="1D2939"/>
          <w:sz w:val="20"/>
          <w:szCs w:val="20"/>
        </w:rPr>
        <w:t xml:space="preserve">Meta's Llama strategy is the canonical example of Joel Spolsky's "commoditize your complements" maxim. Meta's core business is advertising; its revenue is not derived from Llama licensing. By open-sourcing the frontier, Meta undermines OpenAI and Anthropic — which charge for model access — without cannibalizing its own revenue model. The same logic applies to Alibaba (Qwen drives Alibaba Cloud adoption), Tencent (Hunyuan-Open drives Tencent Cloud and is integrated into WeChat-adjacent products), Baidu (ERNIE-X open weights drive Baidu Cloud and Apollo automotive stack), Mistral (open weights drive La Plateforme API usage), and Apple (releasing the MLX framework drives Mac sales without releasing the underlying Apple Intelligence model).</w:t>
      </w:r>
    </w:p>
    <w:p>
      <w:pPr>
        <w:spacing w:after="120" w:before="0" w:line="280"/>
        <w:jc w:val="both"/>
      </w:pPr>
      <w:r>
        <w:rPr>
          <w:rFonts w:ascii="Arial" w:cs="Arial" w:eastAsia="Arial" w:hAnsi="Arial"/>
          <w:b w:val="false"/>
          <w:bCs w:val="false"/>
          <w:i w:val="false"/>
          <w:iCs w:val="false"/>
          <w:color w:val="1D2939"/>
          <w:sz w:val="20"/>
          <w:szCs w:val="20"/>
        </w:rPr>
        <w:t xml:space="preserve">The strategic risk for open-weight developers is that they fund the capability buildout that others monetize. Meta has reportedly invested upwards of $65B in AI capex in 2026 with no direct model-licensing revenue. The bet is that AI capability becomes foundational to Meta's ad business and Reality Labs — an unproven proposition that has generated shareholder friction. Tencent and Alibaba have an easier ROI story because their cloud businesses are direct beneficiaries; Baidu's investment thesis is more speculative given the structural pressure on its core search business.</w:t>
      </w:r>
    </w:p>
    <w:p>
      <w:r>
        <w:br w:type="page"/>
      </w:r>
    </w:p>
    <w:p>
      <w:pPr>
        <w:pStyle w:val="Heading1"/>
        <w:spacing w:after="200" w:before="360"/>
      </w:pPr>
      <w:r>
        <w:rPr>
          <w:rFonts w:ascii="Arial" w:cs="Arial" w:eastAsia="Arial" w:hAnsi="Arial"/>
          <w:b/>
          <w:bCs/>
          <w:color w:val="0B2545"/>
          <w:sz w:val="32"/>
          <w:szCs w:val="32"/>
        </w:rPr>
        <w:t xml:space="preserve">4. Key Players on Both Sides</w:t>
      </w:r>
    </w:p>
    <w:p>
      <w:pPr>
        <w:spacing w:after="120" w:before="0" w:line="280"/>
        <w:jc w:val="both"/>
      </w:pPr>
      <w:r>
        <w:rPr>
          <w:rFonts w:ascii="Arial" w:cs="Arial" w:eastAsia="Arial" w:hAnsi="Arial"/>
          <w:b w:val="false"/>
          <w:bCs w:val="false"/>
          <w:i w:val="false"/>
          <w:iCs w:val="false"/>
          <w:color w:val="1D2939"/>
          <w:sz w:val="20"/>
          <w:szCs w:val="20"/>
        </w:rPr>
        <w:t xml:space="preserve">This section has been substantially expanded from the v1 report to address coverage gaps flagged by the desk. We now treat the closed-weight, open-weight, and hybrid-stack cohorts separately, add Apple as a dedicated hardware-first player, broaden the Chinese open-weight roster (MiniMax, Tencent, Baidu), and add a new subsection on the agentic runtime layer that has emerged as a structurally important — and underappreciated — value-capture point above the model itself.</w:t>
      </w:r>
    </w:p>
    <w:p>
      <w:pPr>
        <w:pStyle w:val="Heading2"/>
        <w:spacing w:after="160" w:before="280"/>
      </w:pPr>
      <w:r>
        <w:rPr>
          <w:rFonts w:ascii="Arial" w:cs="Arial" w:eastAsia="Arial" w:hAnsi="Arial"/>
          <w:b/>
          <w:bCs/>
          <w:color w:val="1B4F8C"/>
          <w:sz w:val="26"/>
          <w:szCs w:val="26"/>
        </w:rPr>
        <w:t xml:space="preserve">4.1 Closed-Weight / Proprietary Frontier 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200"/>
        <w:gridCol w:w="2200"/>
        <w:gridCol w:w="2160"/>
      </w:tblGrid>
      <w:tr>
        <w:trPr>
          <w:tblHeader/>
        </w:trPr>
        <w:tc>
          <w:tcPr>
            <w:tcW w:type="dxa" w:w="15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Lab</w:t>
            </w:r>
          </w:p>
        </w:tc>
        <w:tc>
          <w:tcPr>
            <w:tcW w:type="dxa" w:w="13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Ownership</w:t>
            </w:r>
          </w:p>
        </w:tc>
        <w:tc>
          <w:tcPr>
            <w:tcW w:type="dxa" w:w="22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Flagship Model</w:t>
            </w:r>
          </w:p>
        </w:tc>
        <w:tc>
          <w:tcPr>
            <w:tcW w:type="dxa" w:w="22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Valuation / Cap</w:t>
            </w:r>
          </w:p>
        </w:tc>
        <w:tc>
          <w:tcPr>
            <w:tcW w:type="dxa" w:w="216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Key Backers</w:t>
            </w:r>
          </w:p>
        </w:tc>
      </w:tr>
      <w:tr>
        <w:trPr>
          <w:tblHeader w:val="false"/>
        </w:trPr>
        <w:tc>
          <w:tcPr>
            <w:tcW w:type="dxa" w:w="15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OpenAI</w:t>
            </w:r>
          </w:p>
        </w:tc>
        <w:tc>
          <w:tcPr>
            <w:tcW w:type="dxa" w:w="13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Private</w:t>
            </w:r>
          </w:p>
        </w:tc>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GPT-5.4, Codex</w:t>
            </w:r>
          </w:p>
        </w:tc>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$852B post-money (Feb 2026)</w:t>
            </w:r>
          </w:p>
        </w:tc>
        <w:tc>
          <w:tcPr>
            <w:tcW w:type="dxa" w:w="21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Microsoft, SoftBank, NVDA, a16z</w:t>
            </w:r>
          </w:p>
        </w:tc>
      </w:tr>
      <w:tr>
        <w:trPr>
          <w:tblHeader w:val="false"/>
        </w:trPr>
        <w:tc>
          <w:tcPr>
            <w:tcW w:type="dxa" w:w="15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Anthropic</w:t>
            </w:r>
          </w:p>
        </w:tc>
        <w:tc>
          <w:tcPr>
            <w:tcW w:type="dxa" w:w="13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Private</w:t>
            </w:r>
          </w:p>
        </w:tc>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Claude Opus 4.6 / Mythos 5</w:t>
            </w:r>
          </w:p>
        </w:tc>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$380B (Feb); $1T on secondaries</w:t>
            </w:r>
          </w:p>
        </w:tc>
        <w:tc>
          <w:tcPr>
            <w:tcW w:type="dxa" w:w="21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Google, Amazon, NVDA, Microsoft</w:t>
            </w:r>
          </w:p>
        </w:tc>
      </w:tr>
      <w:tr>
        <w:trPr>
          <w:tblHeader w:val="false"/>
        </w:trPr>
        <w:tc>
          <w:tcPr>
            <w:tcW w:type="dxa" w:w="15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Google DeepMind</w:t>
            </w:r>
          </w:p>
        </w:tc>
        <w:tc>
          <w:tcPr>
            <w:tcW w:type="dxa" w:w="13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Alphabet sub.</w:t>
            </w:r>
          </w:p>
        </w:tc>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Gemini 3.1 Pro / Deep Think</w:t>
            </w:r>
          </w:p>
        </w:tc>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Implied $600B+ AI value</w:t>
            </w:r>
          </w:p>
        </w:tc>
        <w:tc>
          <w:tcPr>
            <w:tcW w:type="dxa" w:w="21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Alphabet (GOOGL) — public</w:t>
            </w:r>
          </w:p>
        </w:tc>
      </w:tr>
      <w:tr>
        <w:trPr>
          <w:tblHeader w:val="false"/>
        </w:trPr>
        <w:tc>
          <w:tcPr>
            <w:tcW w:type="dxa" w:w="15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xAI</w:t>
            </w:r>
          </w:p>
        </w:tc>
        <w:tc>
          <w:tcPr>
            <w:tcW w:type="dxa" w:w="13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SpaceX sub.</w:t>
            </w:r>
          </w:p>
        </w:tc>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Grok 4.20 Beta 2</w:t>
            </w:r>
          </w:p>
        </w:tc>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Part of $1.5–1.75T SpaceX IPO</w:t>
            </w:r>
          </w:p>
        </w:tc>
        <w:tc>
          <w:tcPr>
            <w:tcW w:type="dxa" w:w="21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Musk; SpaceX merger Feb 2026</w:t>
            </w:r>
          </w:p>
        </w:tc>
      </w:tr>
      <w:tr>
        <w:trPr>
          <w:tblHeader w:val="false"/>
        </w:trPr>
        <w:tc>
          <w:tcPr>
            <w:tcW w:type="dxa" w:w="15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Microsoft AI</w:t>
            </w:r>
          </w:p>
        </w:tc>
        <w:tc>
          <w:tcPr>
            <w:tcW w:type="dxa" w:w="13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MSFT sub.</w:t>
            </w:r>
          </w:p>
        </w:tc>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Phi-4, internal Copilot stack, MAI-1</w:t>
            </w:r>
          </w:p>
        </w:tc>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Public — MSFT mkt cap</w:t>
            </w:r>
          </w:p>
        </w:tc>
        <w:tc>
          <w:tcPr>
            <w:tcW w:type="dxa" w:w="21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Internal + OpenAI partnership</w:t>
            </w:r>
          </w:p>
        </w:tc>
      </w:tr>
      <w:tr>
        <w:trPr>
          <w:tblHeader w:val="false"/>
        </w:trPr>
        <w:tc>
          <w:tcPr>
            <w:tcW w:type="dxa" w:w="15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Apple Intelligence</w:t>
            </w:r>
          </w:p>
        </w:tc>
        <w:tc>
          <w:tcPr>
            <w:tcW w:type="dxa" w:w="13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Apple (AAPL)</w:t>
            </w:r>
          </w:p>
        </w:tc>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On-device foundation models + Private Cloud Compute</w:t>
            </w:r>
          </w:p>
        </w:tc>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Public — AAPL mkt cap</w:t>
            </w:r>
          </w:p>
        </w:tc>
        <w:tc>
          <w:tcPr>
            <w:tcW w:type="dxa" w:w="21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Internal; partnerships with OpenAI (US), Baidu (CN)</w:t>
            </w:r>
          </w:p>
        </w:tc>
      </w:tr>
      <w:tr>
        <w:trPr>
          <w:tblHeader w:val="false"/>
        </w:trPr>
        <w:tc>
          <w:tcPr>
            <w:tcW w:type="dxa" w:w="15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Tencent (closed flagship)</w:t>
            </w:r>
          </w:p>
        </w:tc>
        <w:tc>
          <w:tcPr>
            <w:tcW w:type="dxa" w:w="13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Tencent (0700.HK)</w:t>
            </w:r>
          </w:p>
        </w:tc>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Hunyuan T1 (text), Hunyuan-Image, Hunyuan-3D-Pro</w:t>
            </w:r>
          </w:p>
        </w:tc>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Public — Tencent mkt cap</w:t>
            </w:r>
          </w:p>
        </w:tc>
        <w:tc>
          <w:tcPr>
            <w:tcW w:type="dxa" w:w="21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Internal</w:t>
            </w:r>
          </w:p>
        </w:tc>
      </w:tr>
      <w:tr>
        <w:trPr>
          <w:tblHeader w:val="false"/>
        </w:trPr>
        <w:tc>
          <w:tcPr>
            <w:tcW w:type="dxa" w:w="15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Baidu (closed flagship)</w:t>
            </w:r>
          </w:p>
        </w:tc>
        <w:tc>
          <w:tcPr>
            <w:tcW w:type="dxa" w:w="13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Baidu (BIDU)</w:t>
            </w:r>
          </w:p>
        </w:tc>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ERNIE 5.0</w:t>
            </w:r>
          </w:p>
        </w:tc>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Public — BIDU mkt cap</w:t>
            </w:r>
          </w:p>
        </w:tc>
        <w:tc>
          <w:tcPr>
            <w:tcW w:type="dxa" w:w="21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Internal</w:t>
            </w:r>
          </w:p>
        </w:tc>
      </w:tr>
      <w:tr>
        <w:trPr>
          <w:tblHeader w:val="false"/>
        </w:trPr>
        <w:tc>
          <w:tcPr>
            <w:tcW w:type="dxa" w:w="15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Thinking Machines</w:t>
            </w:r>
          </w:p>
        </w:tc>
        <w:tc>
          <w:tcPr>
            <w:tcW w:type="dxa" w:w="13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Private</w:t>
            </w:r>
          </w:p>
        </w:tc>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Tinker (fine-tuning platform)</w:t>
            </w:r>
          </w:p>
        </w:tc>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$12B (seed, Feb 2025)</w:t>
            </w:r>
          </w:p>
        </w:tc>
        <w:tc>
          <w:tcPr>
            <w:tcW w:type="dxa" w:w="21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NVDA, Google Cloud</w:t>
            </w:r>
          </w:p>
        </w:tc>
      </w:tr>
    </w:tbl>
    <w:p>
      <w:pPr>
        <w:spacing w:after="120" w:before="0"/>
      </w:pPr>
      <w:r>
        <w:t xml:space="preserve"/>
      </w:r>
    </w:p>
    <w:p>
      <w:pPr>
        <w:spacing w:after="120" w:before="0" w:line="280"/>
        <w:jc w:val="both"/>
      </w:pPr>
      <w:r>
        <w:rPr>
          <w:rFonts w:ascii="Arial" w:cs="Arial" w:eastAsia="Arial" w:hAnsi="Arial"/>
          <w:b w:val="false"/>
          <w:bCs w:val="false"/>
          <w:i w:val="false"/>
          <w:iCs w:val="false"/>
          <w:color w:val="1D2939"/>
          <w:sz w:val="20"/>
          <w:szCs w:val="20"/>
        </w:rPr>
        <w:t xml:space="preserve">Observations on the closed-weight cohort:</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Two-horse race at the frontier remains intact. </w:t>
      </w:r>
      <w:r>
        <w:rPr>
          <w:rFonts w:ascii="Arial" w:cs="Arial" w:eastAsia="Arial" w:hAnsi="Arial"/>
          <w:b w:val="false"/>
          <w:bCs w:val="false"/>
          <w:i w:val="false"/>
          <w:iCs w:val="false"/>
          <w:color w:val="1D2939"/>
          <w:sz w:val="20"/>
          <w:szCs w:val="20"/>
        </w:rPr>
        <w:t xml:space="preserve">OpenAI and Anthropic are the only pure-play private frontier labs with independent enterprise traction. Google DeepMind and Microsoft AI are divisions of their public-market parents, with the associated advantages (balance sheet, distribution) and disadvantages (bureaucratic overhead, consumer-scale distribution baked in rather than earned).</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Anthropic's enterprise mix is an outlier. </w:t>
      </w:r>
      <w:r>
        <w:rPr>
          <w:rFonts w:ascii="Arial" w:cs="Arial" w:eastAsia="Arial" w:hAnsi="Arial"/>
          <w:b w:val="false"/>
          <w:bCs w:val="false"/>
          <w:i w:val="false"/>
          <w:iCs w:val="false"/>
          <w:color w:val="1D2939"/>
          <w:sz w:val="20"/>
          <w:szCs w:val="20"/>
        </w:rPr>
        <w:t xml:space="preserve">Approximately 80% of revenue comes from enterprise customers per CEO Dario Amodei, driven primarily by Claude Code. OpenAI, by contrast, retains a heavier consumer-revenue base (ChatGPT Plus, Pro) which carries different unit economics. Anthropic Claude Mythos 5 is the first model ever publicly acknowledged as "too capable to deploy" — restricted to ~50 organizations under Project Glasswing, citing cybersecurity misuse potential.</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Apple is best understood as a closed-stack first-party AI vendor. </w:t>
      </w:r>
      <w:r>
        <w:rPr>
          <w:rFonts w:ascii="Arial" w:cs="Arial" w:eastAsia="Arial" w:hAnsi="Arial"/>
          <w:b w:val="false"/>
          <w:bCs w:val="false"/>
          <w:i w:val="false"/>
          <w:iCs w:val="false"/>
          <w:color w:val="1D2939"/>
          <w:sz w:val="20"/>
          <w:szCs w:val="20"/>
        </w:rPr>
        <w:t xml:space="preserve">Apple Intelligence runs a distinctive two-tier architecture: small models on-device (M-series Neural Engine + GPU) for latency-sensitive tasks, falling back to Private Cloud Compute servers running larger Apple-trained models on Apple Silicon when needed. The system is closed end-to-end; Apple has not released training data, code, or weights for the foundation models. However — and this is the strategic subtlety — Apple has open-sourced the MLX framework (the array library that powers ML on Apple Silicon), which has become the dominant runtime for at-home AI labs running open-weight Chinese and Western models on Mac hardware. Apple is closed at the model layer and open at the framework layer. See Section 4.4 for the full hardware analysis.</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Tencent and Baidu are dual-track players. </w:t>
      </w:r>
      <w:r>
        <w:rPr>
          <w:rFonts w:ascii="Arial" w:cs="Arial" w:eastAsia="Arial" w:hAnsi="Arial"/>
          <w:b w:val="false"/>
          <w:bCs w:val="false"/>
          <w:i w:val="false"/>
          <w:iCs w:val="false"/>
          <w:color w:val="1D2939"/>
          <w:sz w:val="20"/>
          <w:szCs w:val="20"/>
        </w:rPr>
        <w:t xml:space="preserve">Both maintain a closed flagship for first-party productivity (Hunyuan T1 powers Tencent Meeting, ERNIE 5.0 powers Baidu Search) while releasing competitive open-weight derivatives (Hunyuan-Open, Hunyuan-Video, ERNIE-X1). This dual-track approach is a hallmark of Chinese AI strategy and contrasts with the more single-track Western labs. We treat them again in Section 4.3 as open-weight participants.</w:t>
      </w:r>
    </w:p>
    <w:p>
      <w:pPr>
        <w:pStyle w:val="Heading2"/>
        <w:spacing w:after="160" w:before="280"/>
      </w:pPr>
      <w:r>
        <w:rPr>
          <w:rFonts w:ascii="Arial" w:cs="Arial" w:eastAsia="Arial" w:hAnsi="Arial"/>
          <w:b/>
          <w:bCs/>
          <w:color w:val="1B4F8C"/>
          <w:sz w:val="26"/>
          <w:szCs w:val="26"/>
        </w:rPr>
        <w:t xml:space="preserve">4.2 Open-Weight Developers — Western and Independent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2350"/>
        <w:gridCol w:w="1800"/>
        <w:gridCol w:w="2110"/>
      </w:tblGrid>
      <w:tr>
        <w:trPr>
          <w:tblHeader/>
        </w:trPr>
        <w:tc>
          <w:tcPr>
            <w:tcW w:type="dxa" w:w="175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Developer</w:t>
            </w:r>
          </w:p>
        </w:tc>
        <w:tc>
          <w:tcPr>
            <w:tcW w:type="dxa" w:w="135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Parent</w:t>
            </w:r>
          </w:p>
        </w:tc>
        <w:tc>
          <w:tcPr>
            <w:tcW w:type="dxa" w:w="235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Flagship Model</w:t>
            </w:r>
          </w:p>
        </w:tc>
        <w:tc>
          <w:tcPr>
            <w:tcW w:type="dxa" w:w="18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License</w:t>
            </w:r>
          </w:p>
        </w:tc>
        <w:tc>
          <w:tcPr>
            <w:tcW w:type="dxa" w:w="211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Listing / Exposure</w:t>
            </w:r>
          </w:p>
        </w:tc>
      </w:tr>
      <w:tr>
        <w:trPr>
          <w:tblHeader w:val="false"/>
        </w:trPr>
        <w:tc>
          <w:tcPr>
            <w:tcW w:type="dxa" w:w="175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Meta AI</w:t>
            </w:r>
          </w:p>
        </w:tc>
        <w:tc>
          <w:tcPr>
            <w:tcW w:type="dxa" w:w="135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Meta (META)</w:t>
            </w:r>
          </w:p>
        </w:tc>
        <w:tc>
          <w:tcPr>
            <w:tcW w:type="dxa" w:w="235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Llama 4 Scout / Maverick; Muse Spark (closed track)</w:t>
            </w:r>
          </w:p>
        </w:tc>
        <w:tc>
          <w:tcPr>
            <w:tcW w:type="dxa" w:w="18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Meta Community License</w:t>
            </w:r>
          </w:p>
        </w:tc>
        <w:tc>
          <w:tcPr>
            <w:tcW w:type="dxa" w:w="211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NASDAQ: META</w:t>
            </w:r>
          </w:p>
        </w:tc>
      </w:tr>
      <w:tr>
        <w:trPr>
          <w:tblHeader w:val="false"/>
        </w:trPr>
        <w:tc>
          <w:tcPr>
            <w:tcW w:type="dxa" w:w="175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Mistral AI</w:t>
            </w:r>
          </w:p>
        </w:tc>
        <w:tc>
          <w:tcPr>
            <w:tcW w:type="dxa" w:w="135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Private (France)</w:t>
            </w:r>
          </w:p>
        </w:tc>
        <w:tc>
          <w:tcPr>
            <w:tcW w:type="dxa" w:w="235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Mistral Small 4, Devstral 2, Magistral, Pixtral</w:t>
            </w:r>
          </w:p>
        </w:tc>
        <w:tc>
          <w:tcPr>
            <w:tcW w:type="dxa" w:w="18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Apache 2.0 (most SKUs)</w:t>
            </w:r>
          </w:p>
        </w:tc>
        <w:tc>
          <w:tcPr>
            <w:tcW w:type="dxa" w:w="211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Private — pre-IPO funds</w:t>
            </w:r>
          </w:p>
        </w:tc>
      </w:tr>
      <w:tr>
        <w:trPr>
          <w:tblHeader w:val="false"/>
        </w:trPr>
        <w:tc>
          <w:tcPr>
            <w:tcW w:type="dxa" w:w="175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Google (Gemma)</w:t>
            </w:r>
          </w:p>
        </w:tc>
        <w:tc>
          <w:tcPr>
            <w:tcW w:type="dxa" w:w="135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Alphabet (GOOGL)</w:t>
            </w:r>
          </w:p>
        </w:tc>
        <w:tc>
          <w:tcPr>
            <w:tcW w:type="dxa" w:w="235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Gemma 4 26B, Gemma 4 Vision</w:t>
            </w:r>
          </w:p>
        </w:tc>
        <w:tc>
          <w:tcPr>
            <w:tcW w:type="dxa" w:w="18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Apache 2.0</w:t>
            </w:r>
          </w:p>
        </w:tc>
        <w:tc>
          <w:tcPr>
            <w:tcW w:type="dxa" w:w="211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NASDAQ: GOOGL</w:t>
            </w:r>
          </w:p>
        </w:tc>
      </w:tr>
      <w:tr>
        <w:trPr>
          <w:tblHeader w:val="false"/>
        </w:trPr>
        <w:tc>
          <w:tcPr>
            <w:tcW w:type="dxa" w:w="175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Microsoft (Phi)</w:t>
            </w:r>
          </w:p>
        </w:tc>
        <w:tc>
          <w:tcPr>
            <w:tcW w:type="dxa" w:w="135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Microsoft (MSFT)</w:t>
            </w:r>
          </w:p>
        </w:tc>
        <w:tc>
          <w:tcPr>
            <w:tcW w:type="dxa" w:w="235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Phi-4, Phi-4-Reasoning, Phi-4-Multimodal</w:t>
            </w:r>
          </w:p>
        </w:tc>
        <w:tc>
          <w:tcPr>
            <w:tcW w:type="dxa" w:w="18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MIT</w:t>
            </w:r>
          </w:p>
        </w:tc>
        <w:tc>
          <w:tcPr>
            <w:tcW w:type="dxa" w:w="211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NASDAQ: MSFT</w:t>
            </w:r>
          </w:p>
        </w:tc>
      </w:tr>
      <w:tr>
        <w:trPr>
          <w:tblHeader w:val="false"/>
        </w:trPr>
        <w:tc>
          <w:tcPr>
            <w:tcW w:type="dxa" w:w="175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NVIDIA (Nemotron)</w:t>
            </w:r>
          </w:p>
        </w:tc>
        <w:tc>
          <w:tcPr>
            <w:tcW w:type="dxa" w:w="135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NVIDIA (NVDA)</w:t>
            </w:r>
          </w:p>
        </w:tc>
        <w:tc>
          <w:tcPr>
            <w:tcW w:type="dxa" w:w="235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Nemotron Ultra 253B, Cascade 2</w:t>
            </w:r>
          </w:p>
        </w:tc>
        <w:tc>
          <w:tcPr>
            <w:tcW w:type="dxa" w:w="18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NVIDIA Open Model License</w:t>
            </w:r>
          </w:p>
        </w:tc>
        <w:tc>
          <w:tcPr>
            <w:tcW w:type="dxa" w:w="211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NASDAQ: NVDA</w:t>
            </w:r>
          </w:p>
        </w:tc>
      </w:tr>
      <w:tr>
        <w:trPr>
          <w:tblHeader w:val="false"/>
        </w:trPr>
        <w:tc>
          <w:tcPr>
            <w:tcW w:type="dxa" w:w="175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AI2 (OLMo)</w:t>
            </w:r>
          </w:p>
        </w:tc>
        <w:tc>
          <w:tcPr>
            <w:tcW w:type="dxa" w:w="135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Allen Institute (non-profit)</w:t>
            </w:r>
          </w:p>
        </w:tc>
        <w:tc>
          <w:tcPr>
            <w:tcW w:type="dxa" w:w="235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OLMo 3 (fully open: data + code + weights)</w:t>
            </w:r>
          </w:p>
        </w:tc>
        <w:tc>
          <w:tcPr>
            <w:tcW w:type="dxa" w:w="18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Apache 2.0</w:t>
            </w:r>
          </w:p>
        </w:tc>
        <w:tc>
          <w:tcPr>
            <w:tcW w:type="dxa" w:w="211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Not investable directly</w:t>
            </w:r>
          </w:p>
        </w:tc>
      </w:tr>
    </w:tbl>
    <w:p>
      <w:pPr>
        <w:spacing w:after="120" w:before="0"/>
      </w:pPr>
      <w:r>
        <w:t xml:space="preserve"/>
      </w:r>
    </w:p>
    <w:p>
      <w:pPr>
        <w:pStyle w:val="Heading2"/>
        <w:spacing w:after="160" w:before="280"/>
      </w:pPr>
      <w:r>
        <w:rPr>
          <w:rFonts w:ascii="Arial" w:cs="Arial" w:eastAsia="Arial" w:hAnsi="Arial"/>
          <w:b/>
          <w:bCs/>
          <w:color w:val="1B4F8C"/>
          <w:sz w:val="26"/>
          <w:szCs w:val="26"/>
        </w:rPr>
        <w:t xml:space="preserve">4.3 Open-Weight Developers — Chinese Cohort</w:t>
      </w:r>
    </w:p>
    <w:p>
      <w:pPr>
        <w:spacing w:after="120" w:before="0" w:line="280"/>
        <w:jc w:val="both"/>
      </w:pPr>
      <w:r>
        <w:rPr>
          <w:rFonts w:ascii="Arial" w:cs="Arial" w:eastAsia="Arial" w:hAnsi="Arial"/>
          <w:b w:val="false"/>
          <w:bCs w:val="false"/>
          <w:i w:val="false"/>
          <w:iCs w:val="false"/>
          <w:color w:val="1D2939"/>
          <w:sz w:val="20"/>
          <w:szCs w:val="20"/>
        </w:rPr>
        <w:t xml:space="preserve">The Chinese open-weight cohort warrants its own table because of (a) its disproportionate influence on benchmark leadership, (b) its differentiated commercial strategy compared with Western open-weight labs, and (c) its growing role in shaping the global cost curve for inference. As of April 2026, four of the top five positions on most major open-weight leaderboards are held by Chinese 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2400"/>
        <w:gridCol w:w="1700"/>
        <w:gridCol w:w="2160"/>
      </w:tblGrid>
      <w:tr>
        <w:trPr>
          <w:tblHeader/>
        </w:trPr>
        <w:tc>
          <w:tcPr>
            <w:tcW w:type="dxa" w:w="17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Developer</w:t>
            </w:r>
          </w:p>
        </w:tc>
        <w:tc>
          <w:tcPr>
            <w:tcW w:type="dxa" w:w="14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Parent</w:t>
            </w:r>
          </w:p>
        </w:tc>
        <w:tc>
          <w:tcPr>
            <w:tcW w:type="dxa" w:w="24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Flagship Model</w:t>
            </w:r>
          </w:p>
        </w:tc>
        <w:tc>
          <w:tcPr>
            <w:tcW w:type="dxa" w:w="17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License</w:t>
            </w:r>
          </w:p>
        </w:tc>
        <w:tc>
          <w:tcPr>
            <w:tcW w:type="dxa" w:w="216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Notes</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Alibaba (Qwen)</w:t>
            </w:r>
          </w:p>
        </w:tc>
        <w:tc>
          <w:tcPr>
            <w:tcW w:type="dxa" w:w="1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Alibaba (BABA)</w:t>
            </w:r>
          </w:p>
        </w:tc>
        <w:tc>
          <w:tcPr>
            <w:tcW w:type="dxa" w:w="2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Qwen 3.5 397B, Qwen3-Coder 480B-A35B, Qwen3-Max</w:t>
            </w:r>
          </w:p>
        </w:tc>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Apache 2.0</w:t>
            </w:r>
          </w:p>
        </w:tc>
        <w:tc>
          <w:tcPr>
            <w:tcW w:type="dxa" w:w="21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Drives Alibaba Cloud; #1 on several open leaderboards</w:t>
            </w:r>
          </w:p>
        </w:tc>
      </w:tr>
      <w:tr>
        <w:trPr>
          <w:tblHeader w:val="false"/>
        </w:trPr>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DeepSeek</w:t>
            </w:r>
          </w:p>
        </w:tc>
        <w:tc>
          <w:tcPr>
            <w:tcW w:type="dxa" w:w="14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High-Flyer Capital (CN)</w:t>
            </w:r>
          </w:p>
        </w:tc>
        <w:tc>
          <w:tcPr>
            <w:tcW w:type="dxa" w:w="24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DeepSeek V3.2, R1, V4 (pending)</w:t>
            </w:r>
          </w:p>
        </w:tc>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MIT</w:t>
            </w:r>
          </w:p>
        </w:tc>
        <w:tc>
          <w:tcPr>
            <w:tcW w:type="dxa" w:w="21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V4 expected on Huawei Ascend 950PR at $0.14–$0.30/M tokens</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Zhipu AI (Z.ai)</w:t>
            </w:r>
          </w:p>
        </w:tc>
        <w:tc>
          <w:tcPr>
            <w:tcW w:type="dxa" w:w="1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Private (CN, Tsinghua-affiliated)</w:t>
            </w:r>
          </w:p>
        </w:tc>
        <w:tc>
          <w:tcPr>
            <w:tcW w:type="dxa" w:w="2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GLM-5 / GLM-5.1 (744B params)</w:t>
            </w:r>
          </w:p>
        </w:tc>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Custom (commercial-friendly)</w:t>
            </w:r>
          </w:p>
        </w:tc>
        <w:tc>
          <w:tcPr>
            <w:tcW w:type="dxa" w:w="21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Tops BenchLM open leaderboard; 8-hr autonomous agent capability</w:t>
            </w:r>
          </w:p>
        </w:tc>
      </w:tr>
      <w:tr>
        <w:trPr>
          <w:tblHeader w:val="false"/>
        </w:trPr>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Moonshot AI</w:t>
            </w:r>
          </w:p>
        </w:tc>
        <w:tc>
          <w:tcPr>
            <w:tcW w:type="dxa" w:w="14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Private (CN, Alibaba-backed)</w:t>
            </w:r>
          </w:p>
        </w:tc>
        <w:tc>
          <w:tcPr>
            <w:tcW w:type="dxa" w:w="24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Kimi K2.6 (1T params, 384 experts)</w:t>
            </w:r>
          </w:p>
        </w:tc>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Modified MIT</w:t>
            </w:r>
          </w:p>
        </w:tc>
        <w:tc>
          <w:tcPr>
            <w:tcW w:type="dxa" w:w="21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13-hr autonomous code refactoring; Cursor Composer 2 backend</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MiniMax</w:t>
            </w:r>
          </w:p>
        </w:tc>
        <w:tc>
          <w:tcPr>
            <w:tcW w:type="dxa" w:w="1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Private (CN, Alibaba/Tencent-backed)</w:t>
            </w:r>
          </w:p>
        </w:tc>
        <w:tc>
          <w:tcPr>
            <w:tcW w:type="dxa" w:w="2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MiniMax M2.5 (text), Hailuo-02 (video)</w:t>
            </w:r>
          </w:p>
        </w:tc>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Apache 2.0 (M-series)</w:t>
            </w:r>
          </w:p>
        </w:tc>
        <w:tc>
          <w:tcPr>
            <w:tcW w:type="dxa" w:w="21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Cost leader; multi-million-token context; Hailuo is global #2 in T2V</w:t>
            </w:r>
          </w:p>
        </w:tc>
      </w:tr>
      <w:tr>
        <w:trPr>
          <w:tblHeader w:val="false"/>
        </w:trPr>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Tencent Hunyuan</w:t>
            </w:r>
          </w:p>
        </w:tc>
        <w:tc>
          <w:tcPr>
            <w:tcW w:type="dxa" w:w="14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Tencent (0700.HK)</w:t>
            </w:r>
          </w:p>
        </w:tc>
        <w:tc>
          <w:tcPr>
            <w:tcW w:type="dxa" w:w="24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Hunyuan-Open 389B, Hunyuan-Video, Hunyuan-3D-2</w:t>
            </w:r>
          </w:p>
        </w:tc>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Modified Apache 2.0</w:t>
            </w:r>
          </w:p>
        </w:tc>
        <w:tc>
          <w:tcPr>
            <w:tcW w:type="dxa" w:w="21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WeChat distribution; strong on multimodal and 3D</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Baidu (ERNIE-X)</w:t>
            </w:r>
          </w:p>
        </w:tc>
        <w:tc>
          <w:tcPr>
            <w:tcW w:type="dxa" w:w="1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Baidu (BIDU)</w:t>
            </w:r>
          </w:p>
        </w:tc>
        <w:tc>
          <w:tcPr>
            <w:tcW w:type="dxa" w:w="2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ERNIE-X1, ERNIE-Speed-Pro-128K</w:t>
            </w:r>
          </w:p>
        </w:tc>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Custom permissive</w:t>
            </w:r>
          </w:p>
        </w:tc>
        <w:tc>
          <w:tcPr>
            <w:tcW w:type="dxa" w:w="21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Strategic shift from closed-only in 2025; Apollo automotive stack</w:t>
            </w:r>
          </w:p>
        </w:tc>
      </w:tr>
      <w:tr>
        <w:trPr>
          <w:tblHeader w:val="false"/>
        </w:trPr>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StepFun</w:t>
            </w:r>
          </w:p>
        </w:tc>
        <w:tc>
          <w:tcPr>
            <w:tcW w:type="dxa" w:w="14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Private (CN)</w:t>
            </w:r>
          </w:p>
        </w:tc>
        <w:tc>
          <w:tcPr>
            <w:tcW w:type="dxa" w:w="24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Step-3 (multimodal, 321B)</w:t>
            </w:r>
          </w:p>
        </w:tc>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Apache 2.0</w:t>
            </w:r>
          </w:p>
        </w:tc>
        <w:tc>
          <w:tcPr>
            <w:tcW w:type="dxa" w:w="21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Rising; backed by Tencent/Geely; strong vision-language</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01.AI (Yi)</w:t>
            </w:r>
          </w:p>
        </w:tc>
        <w:tc>
          <w:tcPr>
            <w:tcW w:type="dxa" w:w="1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Private (CN, Kai-Fu Lee)</w:t>
            </w:r>
          </w:p>
        </w:tc>
        <w:tc>
          <w:tcPr>
            <w:tcW w:type="dxa" w:w="2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Yi-Lightning, Yi-VL</w:t>
            </w:r>
          </w:p>
        </w:tc>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Custom (commercial-friendly)</w:t>
            </w:r>
          </w:p>
        </w:tc>
        <w:tc>
          <w:tcPr>
            <w:tcW w:type="dxa" w:w="21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Pivoting more toward enterprise productivity than frontier</w:t>
            </w:r>
          </w:p>
        </w:tc>
      </w:tr>
    </w:tbl>
    <w:p>
      <w:pPr>
        <w:spacing w:after="120" w:before="0"/>
      </w:pPr>
      <w:r>
        <w:t xml:space="preserve"/>
      </w:r>
    </w:p>
    <w:p>
      <w:pPr>
        <w:spacing w:after="120" w:before="0" w:line="280"/>
        <w:jc w:val="both"/>
      </w:pPr>
      <w:r>
        <w:rPr>
          <w:rFonts w:ascii="Arial" w:cs="Arial" w:eastAsia="Arial" w:hAnsi="Arial"/>
          <w:b w:val="false"/>
          <w:bCs w:val="false"/>
          <w:i w:val="false"/>
          <w:iCs w:val="false"/>
          <w:color w:val="1D2939"/>
          <w:sz w:val="20"/>
          <w:szCs w:val="20"/>
        </w:rPr>
        <w:t xml:space="preserve">Detailed observations on the Chinese open-weight cohort:</w:t>
      </w:r>
    </w:p>
    <w:p>
      <w:pPr>
        <w:spacing w:after="120" w:before="0" w:line="280"/>
        <w:jc w:val="both"/>
      </w:pPr>
      <w:r>
        <w:rPr>
          <w:rFonts w:ascii="Arial" w:cs="Arial" w:eastAsia="Arial" w:hAnsi="Arial"/>
          <w:b/>
          <w:bCs/>
          <w:i w:val="false"/>
          <w:iCs w:val="false"/>
          <w:color w:val="1D2939"/>
          <w:sz w:val="20"/>
          <w:szCs w:val="20"/>
        </w:rPr>
        <w:t xml:space="preserve">MiniMax</w:t>
      </w:r>
      <w:r>
        <w:rPr>
          <w:rFonts w:ascii="Arial" w:cs="Arial" w:eastAsia="Arial" w:hAnsi="Arial"/>
          <w:b w:val="false"/>
          <w:bCs w:val="false"/>
          <w:i w:val="false"/>
          <w:iCs w:val="false"/>
          <w:color w:val="1D2939"/>
          <w:sz w:val="20"/>
          <w:szCs w:val="20"/>
        </w:rPr>
        <w:t xml:space="preserve"> has emerged as the cost leader and the most aggressive on long-context. Its M2.5 text model is reported to be priced at roughly half the cost of Qwen3 and Kimi at comparable capability tiers, while supporting context windows beyond 4M tokens (achieved via lightning attention rather than dense attention). Hailuo, MiniMax's text-to-video model, ranks second globally to Google Veo on most third-party evaluations and is the most-used video model on Chinese consumer apps. MiniMax is privately held with Alibaba and Tencent as cap-table participants; we expect a Hong Kong listing in the 2027 cohort.</w:t>
      </w:r>
    </w:p>
    <w:p>
      <w:pPr>
        <w:spacing w:after="120" w:before="0" w:line="280"/>
        <w:jc w:val="both"/>
      </w:pPr>
      <w:r>
        <w:rPr>
          <w:rFonts w:ascii="Arial" w:cs="Arial" w:eastAsia="Arial" w:hAnsi="Arial"/>
          <w:b/>
          <w:bCs/>
          <w:i w:val="false"/>
          <w:iCs w:val="false"/>
          <w:color w:val="1D2939"/>
          <w:sz w:val="20"/>
          <w:szCs w:val="20"/>
        </w:rPr>
        <w:t xml:space="preserve">Tencent Hunyuan</w:t>
      </w:r>
      <w:r>
        <w:rPr>
          <w:rFonts w:ascii="Arial" w:cs="Arial" w:eastAsia="Arial" w:hAnsi="Arial"/>
          <w:b w:val="false"/>
          <w:bCs w:val="false"/>
          <w:i w:val="false"/>
          <w:iCs w:val="false"/>
          <w:color w:val="1D2939"/>
          <w:sz w:val="20"/>
          <w:szCs w:val="20"/>
        </w:rPr>
        <w:t xml:space="preserve"> is structurally the most under-discussed Chinese AI lab among Western analysts. Hunyuan-Open at 389B parameters (52B active) is benchmark-competitive with Qwen 3.5 and underprices it on Tencent Cloud. Hunyuan-Video and Hunyuan-3D-2 are leaders in their respective open-weight subcategories. Strategic rationale: Hunyuan models are deeply integrated into WeChat's developer ecosystem (Mini Programs, ad creative tools, customer service bots), giving Tencent a distribution moat that no other Chinese lab can match. Investable via 0700.HK or via Naspers/Prosus (NPN.JO / PRX.AS).</w:t>
      </w:r>
    </w:p>
    <w:p>
      <w:pPr>
        <w:spacing w:after="120" w:before="0" w:line="280"/>
        <w:jc w:val="both"/>
      </w:pPr>
      <w:r>
        <w:rPr>
          <w:rFonts w:ascii="Arial" w:cs="Arial" w:eastAsia="Arial" w:hAnsi="Arial"/>
          <w:b/>
          <w:bCs/>
          <w:i w:val="false"/>
          <w:iCs w:val="false"/>
          <w:color w:val="1D2939"/>
          <w:sz w:val="20"/>
          <w:szCs w:val="20"/>
        </w:rPr>
        <w:t xml:space="preserve">Baidu</w:t>
      </w:r>
      <w:r>
        <w:rPr>
          <w:rFonts w:ascii="Arial" w:cs="Arial" w:eastAsia="Arial" w:hAnsi="Arial"/>
          <w:b w:val="false"/>
          <w:bCs w:val="false"/>
          <w:i w:val="false"/>
          <w:iCs w:val="false"/>
          <w:color w:val="1D2939"/>
          <w:sz w:val="20"/>
          <w:szCs w:val="20"/>
        </w:rPr>
        <w:t xml:space="preserve"> executed one of the most consequential strategy reversals of 2025 by pivoting ERNIE from a closed-only stack to a hybrid open/closed approach. ERNIE-X1 (open weights, released June 2025) and ERNIE-Speed-Pro-128K are now competitive with Llama and Qwen for Chinese-language enterprise workloads. The investment thesis on BIDU is split: bullish on AI optionality (ERNIE + Apollo autonomous driving + cloud), bearish on the structural pressure on Baidu Search from Chinese AI assistants. Net-net: BIDU is the cheapest Chinese-AI exposure on a P/E basis but carries the most fundamental risk to the core franchise.</w:t>
      </w:r>
    </w:p>
    <w:p>
      <w:pPr>
        <w:spacing w:after="120" w:before="0" w:line="280"/>
        <w:jc w:val="both"/>
      </w:pPr>
      <w:r>
        <w:rPr>
          <w:rFonts w:ascii="Arial" w:cs="Arial" w:eastAsia="Arial" w:hAnsi="Arial"/>
          <w:b/>
          <w:bCs/>
          <w:i w:val="false"/>
          <w:iCs w:val="false"/>
          <w:color w:val="1D2939"/>
          <w:sz w:val="20"/>
          <w:szCs w:val="20"/>
        </w:rPr>
        <w:t xml:space="preserve">DeepSeek V4</w:t>
      </w:r>
      <w:r>
        <w:rPr>
          <w:rFonts w:ascii="Arial" w:cs="Arial" w:eastAsia="Arial" w:hAnsi="Arial"/>
          <w:b w:val="false"/>
          <w:bCs w:val="false"/>
          <w:i w:val="false"/>
          <w:iCs w:val="false"/>
          <w:color w:val="1D2939"/>
          <w:sz w:val="20"/>
          <w:szCs w:val="20"/>
        </w:rPr>
        <w:t xml:space="preserve"> remains the most important catalyst to watch (as in v1). What has changed since v1 is that the launch is now consensus to occur on Huawei Ascend 950PR rather than NVIDIA, which is the most consequential signal of Chinese hardware independence to date. If DeepSeek V4 ships on Huawei silicon at the rumored $0.14/M token pricing, it would simultaneously demonstrate (a) that frontier-quality inference can run on Chinese hardware, (b) that Chinese open-weight pricing can undercut Western API rates by ~10× without subsidization, and (c) that export controls have shifted the locus of innovation rather than blocked it.</w:t>
      </w:r>
    </w:p>
    <w:p>
      <w:pPr>
        <w:spacing w:after="120" w:before="0" w:line="280"/>
        <w:jc w:val="both"/>
      </w:pPr>
      <w:r>
        <w:rPr>
          <w:rFonts w:ascii="Arial" w:cs="Arial" w:eastAsia="Arial" w:hAnsi="Arial"/>
          <w:b/>
          <w:bCs/>
          <w:i w:val="false"/>
          <w:iCs w:val="false"/>
          <w:color w:val="1D2939"/>
          <w:sz w:val="20"/>
          <w:szCs w:val="20"/>
        </w:rPr>
        <w:t xml:space="preserve">License fragmentation matters for enterprise adoption. </w:t>
      </w:r>
      <w:r>
        <w:rPr>
          <w:rFonts w:ascii="Arial" w:cs="Arial" w:eastAsia="Arial" w:hAnsi="Arial"/>
          <w:b w:val="false"/>
          <w:bCs w:val="false"/>
          <w:i w:val="false"/>
          <w:iCs w:val="false"/>
          <w:color w:val="1D2939"/>
          <w:sz w:val="20"/>
          <w:szCs w:val="20"/>
        </w:rPr>
        <w:t xml:space="preserve">Apache 2.0 and MIT are the preferred licenses for enterprise deployment (Mistral, Qwen, Phi, Gemma, MiniMax, OLMo). Meta's Community License and Anthropic/OpenAI's lack of open weights drive regulated-industry customers toward Mistral, Qwen, and increasingly MiniMax. Tencent's modified Apache 2.0 imposes some derivative-work restrictions but is generally enterprise-friendly.</w:t>
      </w:r>
    </w:p>
    <w:p>
      <w:pPr>
        <w:pStyle w:val="Heading2"/>
        <w:spacing w:after="160" w:before="280"/>
      </w:pPr>
      <w:r>
        <w:rPr>
          <w:rFonts w:ascii="Arial" w:cs="Arial" w:eastAsia="Arial" w:hAnsi="Arial"/>
          <w:b/>
          <w:bCs/>
          <w:color w:val="1B4F8C"/>
          <w:sz w:val="26"/>
          <w:szCs w:val="26"/>
        </w:rPr>
        <w:t xml:space="preserve">4.4 Apple — The Hardware-First AI Player</w:t>
      </w:r>
    </w:p>
    <w:p>
      <w:pPr>
        <w:spacing w:after="120" w:before="0" w:line="280"/>
        <w:jc w:val="both"/>
      </w:pPr>
      <w:r>
        <w:rPr>
          <w:rFonts w:ascii="Arial" w:cs="Arial" w:eastAsia="Arial" w:hAnsi="Arial"/>
          <w:b w:val="false"/>
          <w:bCs w:val="false"/>
          <w:i w:val="false"/>
          <w:iCs w:val="false"/>
          <w:color w:val="1D2939"/>
          <w:sz w:val="20"/>
          <w:szCs w:val="20"/>
        </w:rPr>
        <w:t xml:space="preserve">Apple is not a model winner. Its closed Apple Intelligence stack lags GPT-5.4 / Claude Opus 4.6 / Gemini 3.1 Pro by a meaningful margin on most third-party evaluations, and the company has no plausible path to frontier-model leadership in the next 24 months. Apple is, however, increasingly the dominant hardware vendor for the at-home and small-business AI inference market — a vector that the v1 report did not address.</w:t>
      </w:r>
    </w:p>
    <w:p>
      <w:pPr>
        <w:spacing w:after="120" w:before="0" w:line="280"/>
        <w:jc w:val="both"/>
      </w:pPr>
      <w:r>
        <w:rPr>
          <w:rFonts w:ascii="Arial" w:cs="Arial" w:eastAsia="Arial" w:hAnsi="Arial"/>
          <w:b w:val="false"/>
          <w:bCs w:val="false"/>
          <w:i w:val="false"/>
          <w:iCs w:val="false"/>
          <w:color w:val="1D2939"/>
          <w:sz w:val="20"/>
          <w:szCs w:val="20"/>
        </w:rPr>
        <w:t xml:space="preserve">The technical reason Apple Silicon has won the local-AI tier is its unified memory architecture (UMA). On a discrete-GPU PC, the GPU is bandwidth-isolated from system RAM and is limited to whatever VRAM is on the card (typically 16–48GB on consumer hardware, up to 80GB on the H100/H200, 192GB on B200). Loading a 70B-parameter open-weight model onto a single consumer GPU is essentially impossible. By contrast, the M3 Ultra Mac Studio offers up to 512GB of unified memory accessible to both CPU and GPU at ~800 GB/s, which means a quantized Llama 4 Maverick, DeepSeek V3.2, or Qwen 3.5 Max can be served from a single $9,500 desktop. This is a unique configuration in the consumer hardware market: the only way to access this scale of GPU-accessible RAM elsewhere requires multi-GPU server builds at 5–10× the cost.</w:t>
      </w:r>
    </w:p>
    <w:p>
      <w:pPr>
        <w:spacing w:after="120" w:before="0" w:line="280"/>
        <w:jc w:val="both"/>
      </w:pPr>
      <w:r>
        <w:rPr>
          <w:rFonts w:ascii="Arial" w:cs="Arial" w:eastAsia="Arial" w:hAnsi="Arial"/>
          <w:b w:val="false"/>
          <w:bCs w:val="false"/>
          <w:i w:val="false"/>
          <w:iCs w:val="false"/>
          <w:color w:val="1D2939"/>
          <w:sz w:val="20"/>
          <w:szCs w:val="20"/>
        </w:rPr>
        <w:t xml:space="preserve">Adoption signals are unambiguous. The MLX framework (Apple's open-source array library, ML-equivalent of PyTorch but optimized for Apple Silicon) has crossed 25,000 GitHub stars and is now the default backend for Ollama on macOS, LM Studio, and most local-AI tooling. Mac Studio configurations with ≥256GB RAM have a 2–4 month back-order at Apple's online store as of April 2026, despite premium pricing. Among professional developers running open-weight models locally — a fast-growing segment as Chinese open-weight quality climbs — Apple Silicon is the dominant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60"/>
        <w:gridCol w:w="2400"/>
        <w:gridCol w:w="2200"/>
      </w:tblGrid>
      <w:tr>
        <w:trPr>
          <w:tblHeader/>
        </w:trPr>
        <w:tc>
          <w:tcPr>
            <w:tcW w:type="dxa" w:w="24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Apple AI Hardware Lineup</w:t>
            </w:r>
          </w:p>
        </w:tc>
        <w:tc>
          <w:tcPr>
            <w:tcW w:type="dxa" w:w="236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Max Unified Memory</w:t>
            </w:r>
          </w:p>
        </w:tc>
        <w:tc>
          <w:tcPr>
            <w:tcW w:type="dxa" w:w="24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Approx. Memory BW</w:t>
            </w:r>
          </w:p>
        </w:tc>
        <w:tc>
          <w:tcPr>
            <w:tcW w:type="dxa" w:w="22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Local AI Use Case</w:t>
            </w:r>
          </w:p>
        </w:tc>
      </w:tr>
      <w:tr>
        <w:trPr>
          <w:tblHeader w:val="false"/>
        </w:trPr>
        <w:tc>
          <w:tcPr>
            <w:tcW w:type="dxa" w:w="2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Mac Studio (M3 Ultra)</w:t>
            </w:r>
          </w:p>
        </w:tc>
        <w:tc>
          <w:tcPr>
            <w:tcW w:type="dxa" w:w="23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512 GB</w:t>
            </w:r>
          </w:p>
        </w:tc>
        <w:tc>
          <w:tcPr>
            <w:tcW w:type="dxa" w:w="2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~800 GB/s</w:t>
            </w:r>
          </w:p>
        </w:tc>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70B–400B parameter models, agentic dev workflows</w:t>
            </w:r>
          </w:p>
        </w:tc>
      </w:tr>
      <w:tr>
        <w:trPr>
          <w:tblHeader w:val="false"/>
        </w:trPr>
        <w:tc>
          <w:tcPr>
            <w:tcW w:type="dxa" w:w="24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Mac Pro (M3 Ultra)</w:t>
            </w:r>
          </w:p>
        </w:tc>
        <w:tc>
          <w:tcPr>
            <w:tcW w:type="dxa" w:w="23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512 GB</w:t>
            </w:r>
          </w:p>
        </w:tc>
        <w:tc>
          <w:tcPr>
            <w:tcW w:type="dxa" w:w="24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~800 GB/s</w:t>
            </w:r>
          </w:p>
        </w:tc>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Same as Mac Studio, with PCIe expansion</w:t>
            </w:r>
          </w:p>
        </w:tc>
      </w:tr>
      <w:tr>
        <w:trPr>
          <w:tblHeader w:val="false"/>
        </w:trPr>
        <w:tc>
          <w:tcPr>
            <w:tcW w:type="dxa" w:w="2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Mac Mini (M4 Pro / Max)</w:t>
            </w:r>
          </w:p>
        </w:tc>
        <w:tc>
          <w:tcPr>
            <w:tcW w:type="dxa" w:w="23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64 GB / 128 GB</w:t>
            </w:r>
          </w:p>
        </w:tc>
        <w:tc>
          <w:tcPr>
            <w:tcW w:type="dxa" w:w="2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~273 GB/s / ~546 GB/s</w:t>
            </w:r>
          </w:p>
        </w:tc>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8B–70B models, hobbyist labs, edge inference servers</w:t>
            </w:r>
          </w:p>
        </w:tc>
      </w:tr>
      <w:tr>
        <w:trPr>
          <w:tblHeader w:val="false"/>
        </w:trPr>
        <w:tc>
          <w:tcPr>
            <w:tcW w:type="dxa" w:w="24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MacBook Pro 16" (M4 Max)</w:t>
            </w:r>
          </w:p>
        </w:tc>
        <w:tc>
          <w:tcPr>
            <w:tcW w:type="dxa" w:w="23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128 GB</w:t>
            </w:r>
          </w:p>
        </w:tc>
        <w:tc>
          <w:tcPr>
            <w:tcW w:type="dxa" w:w="24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~546 GB/s</w:t>
            </w:r>
          </w:p>
        </w:tc>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Mobile dev with local 70B models</w:t>
            </w:r>
          </w:p>
        </w:tc>
      </w:tr>
      <w:tr>
        <w:trPr>
          <w:tblHeader w:val="false"/>
        </w:trPr>
        <w:tc>
          <w:tcPr>
            <w:tcW w:type="dxa" w:w="2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iMac / MacBook Air (M4)</w:t>
            </w:r>
          </w:p>
        </w:tc>
        <w:tc>
          <w:tcPr>
            <w:tcW w:type="dxa" w:w="23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32 GB</w:t>
            </w:r>
          </w:p>
        </w:tc>
        <w:tc>
          <w:tcPr>
            <w:tcW w:type="dxa" w:w="2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~120 GB/s</w:t>
            </w:r>
          </w:p>
        </w:tc>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Sub-13B models, Apple Intelligence on-device</w:t>
            </w:r>
          </w:p>
        </w:tc>
      </w:tr>
    </w:tbl>
    <w:p>
      <w:pPr>
        <w:spacing w:after="120" w:before="0"/>
      </w:pPr>
      <w:r>
        <w:t xml:space="preserve"/>
      </w:r>
    </w:p>
    <w:p>
      <w:pPr>
        <w:spacing w:after="120" w:before="0" w:line="280"/>
        <w:jc w:val="both"/>
      </w:pPr>
      <w:r>
        <w:rPr>
          <w:rFonts w:ascii="Arial" w:cs="Arial" w:eastAsia="Arial" w:hAnsi="Arial"/>
          <w:b w:val="false"/>
          <w:bCs w:val="false"/>
          <w:i w:val="false"/>
          <w:iCs w:val="false"/>
          <w:color w:val="1D2939"/>
          <w:sz w:val="20"/>
          <w:szCs w:val="20"/>
        </w:rPr>
        <w:t xml:space="preserve">Investment implications. The Apple AI thesis is unconventional — it is a hardware thesis on a company that is not a model leader. The catalyst path runs through (a) continued unit volume growth in Mac Studio / Mac Mini SKUs as the local-AI market expands, (b) potential Apple Silicon server SKU (rumored "M-series Pro" datacenter chips for Private Cloud Compute, with possible third-party availability), and (c) services-revenue uplift from Apple Intelligence Plus subscriptions if launched. We initiate AAPL as a Tactical Overweight with a 12-month catalyst calendar.</w:t>
      </w:r>
    </w:p>
    <w:p>
      <w:pPr>
        <w:pStyle w:val="Heading2"/>
        <w:spacing w:after="160" w:before="280"/>
      </w:pPr>
      <w:r>
        <w:rPr>
          <w:rFonts w:ascii="Arial" w:cs="Arial" w:eastAsia="Arial" w:hAnsi="Arial"/>
          <w:b/>
          <w:bCs/>
          <w:color w:val="1B4F8C"/>
          <w:sz w:val="26"/>
          <w:szCs w:val="26"/>
        </w:rPr>
        <w:t xml:space="preserve">4.5 The Agentic Runtime Layer</w:t>
      </w:r>
    </w:p>
    <w:p>
      <w:pPr>
        <w:spacing w:after="120" w:before="0" w:line="280"/>
        <w:jc w:val="both"/>
      </w:pPr>
      <w:r>
        <w:rPr>
          <w:rFonts w:ascii="Arial" w:cs="Arial" w:eastAsia="Arial" w:hAnsi="Arial"/>
          <w:b w:val="false"/>
          <w:bCs w:val="false"/>
          <w:i w:val="false"/>
          <w:iCs w:val="false"/>
          <w:color w:val="1D2939"/>
          <w:sz w:val="20"/>
          <w:szCs w:val="20"/>
        </w:rPr>
        <w:t xml:space="preserve">A new value-capture stratum has emerged in 2026 that did not exist as an investable category in 2024: the agentic runtime layer. These are software products that sit between the model and the end user, taking a natural-language goal and orchestrating a sequence of model calls, tool invocations, and persistent-memory operations to accomplish it. This layer is fundamentally different from "chat UI" — it is closer to an operating-system abstraction over LLMs.</w:t>
      </w:r>
    </w:p>
    <w:p>
      <w:pPr>
        <w:spacing w:after="120" w:before="0" w:line="280"/>
        <w:jc w:val="both"/>
      </w:pPr>
      <w:r>
        <w:rPr>
          <w:rFonts w:ascii="Arial" w:cs="Arial" w:eastAsia="Arial" w:hAnsi="Arial"/>
          <w:b w:val="false"/>
          <w:bCs w:val="false"/>
          <w:i w:val="false"/>
          <w:iCs w:val="false"/>
          <w:color w:val="1D2939"/>
          <w:sz w:val="20"/>
          <w:szCs w:val="20"/>
        </w:rPr>
        <w:t xml:space="preserve">The agentic runtime layer matters for the desk for three reasons. First, runtime providers can switch models with a config change, which means the runtime is the new locus of customer relationship — the model below it is closer to an interchangeable supplier. Second, the runtime captures behavioral data and persistent context that creates lock-in independent of the model. Third, the runtime layer is currently the fastest-growing piece of the consumer-AI revenue mix. Many of the highest-growth product brands in AI today (Cursor, Lovable, Bolt, OpenClaw, goose) are runtimes, not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700"/>
        <w:gridCol w:w="2700"/>
        <w:gridCol w:w="2810"/>
      </w:tblGrid>
      <w:tr>
        <w:trPr>
          <w:tblHeader/>
        </w:trPr>
        <w:tc>
          <w:tcPr>
            <w:tcW w:type="dxa" w:w="215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Runtime / Standard</w:t>
            </w:r>
          </w:p>
        </w:tc>
        <w:tc>
          <w:tcPr>
            <w:tcW w:type="dxa" w:w="17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Sponsor</w:t>
            </w:r>
          </w:p>
        </w:tc>
        <w:tc>
          <w:tcPr>
            <w:tcW w:type="dxa" w:w="27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Description</w:t>
            </w:r>
          </w:p>
        </w:tc>
        <w:tc>
          <w:tcPr>
            <w:tcW w:type="dxa" w:w="281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Investability</w:t>
            </w:r>
          </w:p>
        </w:tc>
      </w:tr>
      <w:tr>
        <w:trPr>
          <w:tblHeader w:val="false"/>
        </w:trPr>
        <w:tc>
          <w:tcPr>
            <w:tcW w:type="dxa" w:w="215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MCP (Model Context Protocol)</w:t>
            </w:r>
          </w:p>
        </w:tc>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Anthropic (donated to Linux Foundation)</w:t>
            </w:r>
          </w:p>
        </w:tc>
        <w:tc>
          <w:tcPr>
            <w:tcW w:type="dxa" w:w="2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Open standard for connecting LLMs to tools and data sources; 97M+ installs as of March 2026</w:t>
            </w:r>
          </w:p>
        </w:tc>
        <w:tc>
          <w:tcPr>
            <w:tcW w:type="dxa" w:w="281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No direct exposure; benefits Anthropic ecosystem (private)</w:t>
            </w:r>
          </w:p>
        </w:tc>
      </w:tr>
      <w:tr>
        <w:trPr>
          <w:tblHeader w:val="false"/>
        </w:trPr>
        <w:tc>
          <w:tcPr>
            <w:tcW w:type="dxa" w:w="215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AGENTS.md</w:t>
            </w:r>
          </w:p>
        </w:tc>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OpenAI (donated to Linux Foundation)</w:t>
            </w:r>
          </w:p>
        </w:tc>
        <w:tc>
          <w:tcPr>
            <w:tcW w:type="dxa" w:w="2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Markdown-based standard for declaring agent capabilities and policies in repos</w:t>
            </w:r>
          </w:p>
        </w:tc>
        <w:tc>
          <w:tcPr>
            <w:tcW w:type="dxa" w:w="281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No direct exposure; benefits OpenAI ecosystem</w:t>
            </w:r>
          </w:p>
        </w:tc>
      </w:tr>
      <w:tr>
        <w:trPr>
          <w:tblHeader w:val="false"/>
        </w:trPr>
        <w:tc>
          <w:tcPr>
            <w:tcW w:type="dxa" w:w="215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Cursor</w:t>
            </w:r>
          </w:p>
        </w:tc>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Cursor (Anysphere, Inc.)</w:t>
            </w:r>
          </w:p>
        </w:tc>
        <w:tc>
          <w:tcPr>
            <w:tcW w:type="dxa" w:w="2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AI-native IDE with Composer 2 multi-agent workflow; reportedly $200M+ ARR</w:t>
            </w:r>
          </w:p>
        </w:tc>
        <w:tc>
          <w:tcPr>
            <w:tcW w:type="dxa" w:w="281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Private; pre-IPO funds, secondaries</w:t>
            </w:r>
          </w:p>
        </w:tc>
      </w:tr>
      <w:tr>
        <w:trPr>
          <w:tblHeader w:val="false"/>
        </w:trPr>
        <w:tc>
          <w:tcPr>
            <w:tcW w:type="dxa" w:w="215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Claude Code / Cowork</w:t>
            </w:r>
          </w:p>
        </w:tc>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Anthropic</w:t>
            </w:r>
          </w:p>
        </w:tc>
        <w:tc>
          <w:tcPr>
            <w:tcW w:type="dxa" w:w="2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Anthropic's first-party coding and productivity agents; primary driver of Anthropic enterprise mix</w:t>
            </w:r>
          </w:p>
        </w:tc>
        <w:tc>
          <w:tcPr>
            <w:tcW w:type="dxa" w:w="281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Anthropic exposure (see Section 6)</w:t>
            </w:r>
          </w:p>
        </w:tc>
      </w:tr>
      <w:tr>
        <w:trPr>
          <w:tblHeader w:val="false"/>
        </w:trPr>
        <w:tc>
          <w:tcPr>
            <w:tcW w:type="dxa" w:w="215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OpenClaw</w:t>
            </w:r>
          </w:p>
        </w:tc>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Open-source (P. Steinberger, foundation-stewarded post-Feb 2026)</w:t>
            </w:r>
          </w:p>
        </w:tc>
        <w:tc>
          <w:tcPr>
            <w:tcW w:type="dxa" w:w="2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Model-agnostic always-on personal AI runtime; 250K+ GitHub stars; runs Claude, GPT, Kimi, GLM, MiniMax, local Ollama models interchangeably</w:t>
            </w:r>
          </w:p>
        </w:tc>
        <w:tc>
          <w:tcPr>
            <w:tcW w:type="dxa" w:w="281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Open-source — benefits NVDA (NemoClaw), DigitalOcean (1-Click Deploy), and any model provider being routed to</w:t>
            </w:r>
          </w:p>
        </w:tc>
      </w:tr>
      <w:tr>
        <w:trPr>
          <w:tblHeader w:val="false"/>
        </w:trPr>
        <w:tc>
          <w:tcPr>
            <w:tcW w:type="dxa" w:w="215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goose</w:t>
            </w:r>
          </w:p>
        </w:tc>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Block (formerly Square)</w:t>
            </w:r>
          </w:p>
        </w:tc>
        <w:tc>
          <w:tcPr>
            <w:tcW w:type="dxa" w:w="2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Open-source agent framework donated to Linux Foundation Agentic AI Foundation</w:t>
            </w:r>
          </w:p>
        </w:tc>
        <w:tc>
          <w:tcPr>
            <w:tcW w:type="dxa" w:w="281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SQ exposure (modest)</w:t>
            </w:r>
          </w:p>
        </w:tc>
      </w:tr>
      <w:tr>
        <w:trPr>
          <w:tblHeader w:val="false"/>
        </w:trPr>
        <w:tc>
          <w:tcPr>
            <w:tcW w:type="dxa" w:w="215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Cline / Roo</w:t>
            </w:r>
          </w:p>
        </w:tc>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Independent open-source</w:t>
            </w:r>
          </w:p>
        </w:tc>
        <w:tc>
          <w:tcPr>
            <w:tcW w:type="dxa" w:w="2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Coding-focused agent runtimes embedded in VS Code</w:t>
            </w:r>
          </w:p>
        </w:tc>
        <w:tc>
          <w:tcPr>
            <w:tcW w:type="dxa" w:w="281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No direct exposure</w:t>
            </w:r>
          </w:p>
        </w:tc>
      </w:tr>
      <w:tr>
        <w:trPr>
          <w:tblHeader w:val="false"/>
        </w:trPr>
        <w:tc>
          <w:tcPr>
            <w:tcW w:type="dxa" w:w="215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Bolt / Lovable</w:t>
            </w:r>
          </w:p>
        </w:tc>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StackBlitz / Lovable AB</w:t>
            </w:r>
          </w:p>
        </w:tc>
        <w:tc>
          <w:tcPr>
            <w:tcW w:type="dxa" w:w="2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AI-native website / app builders for non-developers</w:t>
            </w:r>
          </w:p>
        </w:tc>
        <w:tc>
          <w:tcPr>
            <w:tcW w:type="dxa" w:w="281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Private; venture-stage</w:t>
            </w:r>
          </w:p>
        </w:tc>
      </w:tr>
    </w:tbl>
    <w:p>
      <w:pPr>
        <w:spacing w:after="120" w:before="0"/>
      </w:pPr>
      <w:r>
        <w:t xml:space="preserve"/>
      </w:r>
    </w:p>
    <w:p>
      <w:pPr>
        <w:spacing w:after="120" w:before="0" w:line="280"/>
        <w:jc w:val="both"/>
      </w:pPr>
      <w:r>
        <w:rPr>
          <w:rFonts w:ascii="Arial" w:cs="Arial" w:eastAsia="Arial" w:hAnsi="Arial"/>
          <w:b w:val="false"/>
          <w:bCs w:val="false"/>
          <w:i w:val="false"/>
          <w:iCs w:val="false"/>
          <w:color w:val="1D2939"/>
          <w:sz w:val="20"/>
          <w:szCs w:val="20"/>
        </w:rPr>
        <w:t xml:space="preserve">Strategic read on the runtime layer. The most important question for the desk is whether the runtime layer captures durable value over the long run, or whether closed-weight labs vertically integrate into it (as Anthropic has with Claude Code/Cowork and OpenAI is attempting with Codex and AGENTS.md). Our base case is a partial bifurcation: closed labs will own the first-party productivity tier (Claude Code, ChatGPT Pro Agents), while a long tail of independent runtimes — Cursor, OpenClaw, Bolt, Cline — will dominate developer and prosumer use cases by virtue of being model-agnostic and faster-iterating. OpenClaw is particularly notable because of its Chinese ecosystem adoption (Tencent and Z.ai have announced OpenClaw-based services), making it one of the few pieces of agentic infrastructure spanning the U.S.–China model divide.</w:t>
      </w:r>
    </w:p>
    <w:p>
      <w:r>
        <w:br w:type="page"/>
      </w:r>
    </w:p>
    <w:p>
      <w:pPr>
        <w:pStyle w:val="Heading1"/>
        <w:spacing w:after="200" w:before="360"/>
      </w:pPr>
      <w:r>
        <w:rPr>
          <w:rFonts w:ascii="Arial" w:cs="Arial" w:eastAsia="Arial" w:hAnsi="Arial"/>
          <w:b/>
          <w:bCs/>
          <w:color w:val="0B2545"/>
          <w:sz w:val="32"/>
          <w:szCs w:val="32"/>
        </w:rPr>
        <w:t xml:space="preserve">5. Training vs. Inference — The Two Compute Regimes</w:t>
      </w:r>
    </w:p>
    <w:p>
      <w:pPr>
        <w:spacing w:after="120" w:before="0" w:line="280"/>
        <w:jc w:val="both"/>
      </w:pPr>
      <w:r>
        <w:rPr>
          <w:rFonts w:ascii="Arial" w:cs="Arial" w:eastAsia="Arial" w:hAnsi="Arial"/>
          <w:b w:val="false"/>
          <w:bCs w:val="false"/>
          <w:i w:val="false"/>
          <w:iCs w:val="false"/>
          <w:color w:val="1D2939"/>
          <w:sz w:val="20"/>
          <w:szCs w:val="20"/>
        </w:rPr>
        <w:t xml:space="preserve">AI compute is not a single market. It is two adjacent markets — training and inference — with very different economics, hardware preferences, and growth trajectories. The v1 report did not distinguish between them with sufficient analytical depth, and as a result missed the most consequential industry shift of 2025–26: the inversion of the training/inference compute ratio. Inference compute spend industry-wide overtook training compute spend during 2025 and is now growing at roughly twice the pace. This has direct implications for which silicon, packaging, and memory configurations win share.</w:t>
      </w:r>
    </w:p>
    <w:p>
      <w:pPr>
        <w:pStyle w:val="Heading2"/>
        <w:spacing w:after="160" w:before="280"/>
      </w:pPr>
      <w:r>
        <w:rPr>
          <w:rFonts w:ascii="Arial" w:cs="Arial" w:eastAsia="Arial" w:hAnsi="Arial"/>
          <w:b/>
          <w:bCs/>
          <w:color w:val="1B4F8C"/>
          <w:sz w:val="26"/>
          <w:szCs w:val="26"/>
        </w:rPr>
        <w:t xml:space="preserve">5.1 Training: The Frontier-Run Economics</w:t>
      </w:r>
    </w:p>
    <w:p>
      <w:pPr>
        <w:spacing w:after="120" w:before="0" w:line="280"/>
        <w:jc w:val="both"/>
      </w:pPr>
      <w:r>
        <w:rPr>
          <w:rFonts w:ascii="Arial" w:cs="Arial" w:eastAsia="Arial" w:hAnsi="Arial"/>
          <w:b w:val="false"/>
          <w:bCs w:val="false"/>
          <w:i w:val="false"/>
          <w:iCs w:val="false"/>
          <w:color w:val="1D2939"/>
          <w:sz w:val="20"/>
          <w:szCs w:val="20"/>
        </w:rPr>
        <w:t xml:space="preserve">Training a frontier model is a one-time, batch, throughput-bound, bandwidth-saturated workload. A 2026 frontier-class run consumes 50,000–200,000 GPU-equivalents (or TPU-equivalents) running synchronously for 60–180 days. The defining characteristics are:</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All-to-all communication. </w:t>
      </w:r>
      <w:r>
        <w:rPr>
          <w:rFonts w:ascii="Arial" w:cs="Arial" w:eastAsia="Arial" w:hAnsi="Arial"/>
          <w:b w:val="false"/>
          <w:bCs w:val="false"/>
          <w:i w:val="false"/>
          <w:iCs w:val="false"/>
          <w:color w:val="1D2939"/>
          <w:sz w:val="20"/>
          <w:szCs w:val="20"/>
        </w:rPr>
        <w:t xml:space="preserve">Training requires constant gradient synchronization across the entire fleet, which means every chip must talk to every other chip on every step. This places extreme demand on the inter-chip fabric — NVIDIA NVLink/NVSwitch, Google ICI / OCS, AWS Trainium NeuronLink.</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HBM-bound throughput. </w:t>
      </w:r>
      <w:r>
        <w:rPr>
          <w:rFonts w:ascii="Arial" w:cs="Arial" w:eastAsia="Arial" w:hAnsi="Arial"/>
          <w:b w:val="false"/>
          <w:bCs w:val="false"/>
          <w:i w:val="false"/>
          <w:iCs w:val="false"/>
          <w:color w:val="1D2939"/>
          <w:sz w:val="20"/>
          <w:szCs w:val="20"/>
        </w:rPr>
        <w:t xml:space="preserve">Training is bandwidth-limited, not compute-limited. The defining metric is HBM bandwidth per chip (currently 4–8 TB/s on Blackwell B200/B300, ~2.8 TB/s on TPU v6 Trillium). This is why HBM4 ramp matters so much for training capacity.</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Long, continuous, fault-intolerant runs. </w:t>
      </w:r>
      <w:r>
        <w:rPr>
          <w:rFonts w:ascii="Arial" w:cs="Arial" w:eastAsia="Arial" w:hAnsi="Arial"/>
          <w:b w:val="false"/>
          <w:bCs w:val="false"/>
          <w:i w:val="false"/>
          <w:iCs w:val="false"/>
          <w:color w:val="1D2939"/>
          <w:sz w:val="20"/>
          <w:szCs w:val="20"/>
        </w:rPr>
        <w:t xml:space="preserve">A single chip failure during training requires checkpointing and rollback. At frontier scale, mean time between failures is minutes. This is why training clusters require expensive redundant networking, hot-spare capacity, and aggressive checkpoint cadences.</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Capex-intensive but not capacity-limited at the firm level. </w:t>
      </w:r>
      <w:r>
        <w:rPr>
          <w:rFonts w:ascii="Arial" w:cs="Arial" w:eastAsia="Arial" w:hAnsi="Arial"/>
          <w:b w:val="false"/>
          <w:bCs w:val="false"/>
          <w:i w:val="false"/>
          <w:iCs w:val="false"/>
          <w:color w:val="1D2939"/>
          <w:sz w:val="20"/>
          <w:szCs w:val="20"/>
        </w:rPr>
        <w:t xml:space="preserve">A single frontier training run costs $1–5B at 2026 prices but represents only a fraction of a hyperscaler's annual AI capex. Training is the high-margin, low-volume consumer of compute — the spectacle, not the recurring revenue.</w:t>
      </w:r>
    </w:p>
    <w:p>
      <w:pPr>
        <w:spacing w:after="120" w:before="0" w:line="280"/>
        <w:jc w:val="both"/>
      </w:pPr>
      <w:r>
        <w:rPr>
          <w:rFonts w:ascii="Arial" w:cs="Arial" w:eastAsia="Arial" w:hAnsi="Arial"/>
          <w:b w:val="false"/>
          <w:bCs w:val="false"/>
          <w:i w:val="false"/>
          <w:iCs w:val="false"/>
          <w:color w:val="1D2939"/>
          <w:sz w:val="20"/>
          <w:szCs w:val="20"/>
        </w:rPr>
        <w:t xml:space="preserve">Hardware preference for training. NVIDIA H200 / B200 / B300 / GB300 NVL72 systems remain the default training silicon — the combination of bandwidth, fabric, software (CUDA, cuDNN, NCCL), and ecosystem maturity makes alternatives risky for any frontier-scale run. The exceptions are intentional: Google trains Gemini on TPU because it owns the silicon and the cluster, and Anthropic has committed multi-GW of TPU capacity beginning 2027 specifically to diversify away from NVIDIA dependence. AWS Trainium has gained traction for second-tier training (post-training, fine-tuning, smaller-scale frontier runs) but has not yet been used for a publicly disclosed Tier-1 frontier run.</w:t>
      </w:r>
    </w:p>
    <w:p>
      <w:pPr>
        <w:pStyle w:val="Heading2"/>
        <w:spacing w:after="160" w:before="280"/>
      </w:pPr>
      <w:r>
        <w:rPr>
          <w:rFonts w:ascii="Arial" w:cs="Arial" w:eastAsia="Arial" w:hAnsi="Arial"/>
          <w:b/>
          <w:bCs/>
          <w:color w:val="1B4F8C"/>
          <w:sz w:val="26"/>
          <w:szCs w:val="26"/>
        </w:rPr>
        <w:t xml:space="preserve">5.2 Inference: The New Compute Majority</w:t>
      </w:r>
    </w:p>
    <w:p>
      <w:pPr>
        <w:spacing w:after="120" w:before="0" w:line="280"/>
        <w:jc w:val="both"/>
      </w:pPr>
      <w:r>
        <w:rPr>
          <w:rFonts w:ascii="Arial" w:cs="Arial" w:eastAsia="Arial" w:hAnsi="Arial"/>
          <w:b w:val="false"/>
          <w:bCs w:val="false"/>
          <w:i w:val="false"/>
          <w:iCs w:val="false"/>
          <w:color w:val="1D2939"/>
          <w:sz w:val="20"/>
          <w:szCs w:val="20"/>
        </w:rPr>
        <w:t xml:space="preserve">Inference is online, latency-bound, throughput-via-batching, and recurring. Where training cost is amortized over the lifetime of the model, inference cost scales linearly with usage. The defining characteristics are:</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Latency budgets. </w:t>
      </w:r>
      <w:r>
        <w:rPr>
          <w:rFonts w:ascii="Arial" w:cs="Arial" w:eastAsia="Arial" w:hAnsi="Arial"/>
          <w:b w:val="false"/>
          <w:bCs w:val="false"/>
          <w:i w:val="false"/>
          <w:iCs w:val="false"/>
          <w:color w:val="1D2939"/>
          <w:sz w:val="20"/>
          <w:szCs w:val="20"/>
        </w:rPr>
        <w:t xml:space="preserve">User-facing inference targets sub-second time-to-first-token and tens-of-milliseconds inter-token latency. This caps how aggressively a serving stack can batch requests, which means inference cost-per-token has a floor set by how much idle compute the operator is willing to pay for.</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KV cache memory pressure. </w:t>
      </w:r>
      <w:r>
        <w:rPr>
          <w:rFonts w:ascii="Arial" w:cs="Arial" w:eastAsia="Arial" w:hAnsi="Arial"/>
          <w:b w:val="false"/>
          <w:bCs w:val="false"/>
          <w:i w:val="false"/>
          <w:iCs w:val="false"/>
          <w:color w:val="1D2939"/>
          <w:sz w:val="20"/>
          <w:szCs w:val="20"/>
        </w:rPr>
        <w:t xml:space="preserve">Every token in a context window requires a KV-cache entry per layer per attention head. Long-context models (Qwen 3.5 1M, MiniMax 4M, Gemini 3.1 Pro 2M) push KV caches into the hundreds of GB per request. Memory bandwidth and capacity — not raw compute — become the bottleneck.</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Heterogeneous chip mix wins. </w:t>
      </w:r>
      <w:r>
        <w:rPr>
          <w:rFonts w:ascii="Arial" w:cs="Arial" w:eastAsia="Arial" w:hAnsi="Arial"/>
          <w:b w:val="false"/>
          <w:bCs w:val="false"/>
          <w:i w:val="false"/>
          <w:iCs w:val="false"/>
          <w:color w:val="1D2939"/>
          <w:sz w:val="20"/>
          <w:szCs w:val="20"/>
        </w:rPr>
        <w:t xml:space="preserve">Unlike training, inference does not benefit from chip homogeneity. Operators mix higher-margin GPUs (B200 for prefill, where compute matters) with lower-margin GPUs (L40s, B30, AMD MI300X for decode, where memory bandwidth matters more than peak FLOPs). Custom ASICs (Google TPU v6 inference SKU, AWS Inferentia, Meta MTIA) are well-suited to inference because the workload is more predictable and amenable to fixed-function silicon.</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The reasoning shift. </w:t>
      </w:r>
      <w:r>
        <w:rPr>
          <w:rFonts w:ascii="Arial" w:cs="Arial" w:eastAsia="Arial" w:hAnsi="Arial"/>
          <w:b w:val="false"/>
          <w:bCs w:val="false"/>
          <w:i w:val="false"/>
          <w:iCs w:val="false"/>
          <w:color w:val="1D2939"/>
          <w:sz w:val="20"/>
          <w:szCs w:val="20"/>
        </w:rPr>
        <w:t xml:space="preserve">Reasoning-mode models invert the inference cost curve. A non-reasoning query might generate 200 output tokens; a reasoning query (Claude Opus 4.6 thinking, GPT-5.4 deep, Gemini 3.1 Pro Deep Think) might generate 5,000–50,000 reasoning tokens before producing the final answer. For the same end-user query, the operator pays 25–250× the compute. This is the core reason inference compute has overtaken training in absolute spend.</w:t>
      </w:r>
    </w:p>
    <w:p>
      <w:pPr>
        <w:spacing w:after="120" w:before="0" w:line="280"/>
        <w:jc w:val="both"/>
      </w:pPr>
      <w:r>
        <w:rPr>
          <w:rFonts w:ascii="Arial" w:cs="Arial" w:eastAsia="Arial" w:hAnsi="Arial"/>
          <w:b w:val="false"/>
          <w:bCs w:val="false"/>
          <w:i w:val="false"/>
          <w:iCs w:val="false"/>
          <w:color w:val="1D2939"/>
          <w:sz w:val="20"/>
          <w:szCs w:val="20"/>
        </w:rPr>
        <w:t xml:space="preserve">Hardware preference for inference. Inference is where the chip-vendor competition is most active. NVIDIA still leads but its share is structurally lower than in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Inference Workload Type</w:t>
            </w:r>
          </w:p>
        </w:tc>
        <w:tc>
          <w:tcPr>
            <w:tcW w:type="dxa" w:w="24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Default Hardware</w:t>
            </w:r>
          </w:p>
        </w:tc>
        <w:tc>
          <w:tcPr>
            <w:tcW w:type="dxa" w:w="24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Challengers</w:t>
            </w:r>
          </w:p>
        </w:tc>
        <w:tc>
          <w:tcPr>
            <w:tcW w:type="dxa" w:w="216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Comment</w:t>
            </w:r>
          </w:p>
        </w:tc>
      </w:tr>
      <w:tr>
        <w:trPr>
          <w:tblHeader w:val="false"/>
        </w:trPr>
        <w:tc>
          <w:tcPr>
            <w:tcW w:type="dxa" w:w="2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High-volume LLM API (latency-sensitive)</w:t>
            </w:r>
          </w:p>
        </w:tc>
        <w:tc>
          <w:tcPr>
            <w:tcW w:type="dxa" w:w="2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NVIDIA H200 / B200</w:t>
            </w:r>
          </w:p>
        </w:tc>
        <w:tc>
          <w:tcPr>
            <w:tcW w:type="dxa" w:w="2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AMD MI300X, MI325X; Google TPU v6e</w:t>
            </w:r>
          </w:p>
        </w:tc>
        <w:tc>
          <w:tcPr>
            <w:tcW w:type="dxa" w:w="21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AMD has gained share on memory-bound serving; TPU v6e is competitive for Google Cloud customers</w:t>
            </w:r>
          </w:p>
        </w:tc>
      </w:tr>
      <w:tr>
        <w:trPr>
          <w:tblHeader w:val="false"/>
        </w:trPr>
        <w:tc>
          <w:tcPr>
            <w:tcW w:type="dxa" w:w="24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Reasoning-mode inference</w:t>
            </w:r>
          </w:p>
        </w:tc>
        <w:tc>
          <w:tcPr>
            <w:tcW w:type="dxa" w:w="24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NVIDIA B200 / B300</w:t>
            </w:r>
          </w:p>
        </w:tc>
        <w:tc>
          <w:tcPr>
            <w:tcW w:type="dxa" w:w="24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Google TPU v6 inference; AWS Trainium 2</w:t>
            </w:r>
          </w:p>
        </w:tc>
        <w:tc>
          <w:tcPr>
            <w:tcW w:type="dxa" w:w="21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Long generation lengths reward high HBM capacity; B200 192GB and TPU v6 are well-suited</w:t>
            </w:r>
          </w:p>
        </w:tc>
      </w:tr>
      <w:tr>
        <w:trPr>
          <w:tblHeader w:val="false"/>
        </w:trPr>
        <w:tc>
          <w:tcPr>
            <w:tcW w:type="dxa" w:w="2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Edge / on-device</w:t>
            </w:r>
          </w:p>
        </w:tc>
        <w:tc>
          <w:tcPr>
            <w:tcW w:type="dxa" w:w="2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Apple Neural Engine; Qualcomm Hexagon</w:t>
            </w:r>
          </w:p>
        </w:tc>
        <w:tc>
          <w:tcPr>
            <w:tcW w:type="dxa" w:w="2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Mediatek APU; NVDA Jetson</w:t>
            </w:r>
          </w:p>
        </w:tc>
        <w:tc>
          <w:tcPr>
            <w:tcW w:type="dxa" w:w="21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Apple Silicon and Qualcomm dominate consumer; NVDA Jetson dominates robotics</w:t>
            </w:r>
          </w:p>
        </w:tc>
      </w:tr>
      <w:tr>
        <w:trPr>
          <w:tblHeader w:val="false"/>
        </w:trPr>
        <w:tc>
          <w:tcPr>
            <w:tcW w:type="dxa" w:w="24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Hyperscale first-party (Meta, Google)</w:t>
            </w:r>
          </w:p>
        </w:tc>
        <w:tc>
          <w:tcPr>
            <w:tcW w:type="dxa" w:w="24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Custom ASIC (MTIA, TPU)</w:t>
            </w:r>
          </w:p>
        </w:tc>
        <w:tc>
          <w:tcPr>
            <w:tcW w:type="dxa" w:w="24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NVDA when ASIC unavailable</w:t>
            </w:r>
          </w:p>
        </w:tc>
        <w:tc>
          <w:tcPr>
            <w:tcW w:type="dxa" w:w="21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MTIA-2 reportedly displacing significant NVDA inference workloads at Meta</w:t>
            </w:r>
          </w:p>
        </w:tc>
      </w:tr>
      <w:tr>
        <w:trPr>
          <w:tblHeader w:val="false"/>
        </w:trPr>
        <w:tc>
          <w:tcPr>
            <w:tcW w:type="dxa" w:w="2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Cost-optimized batch / async</w:t>
            </w:r>
          </w:p>
        </w:tc>
        <w:tc>
          <w:tcPr>
            <w:tcW w:type="dxa" w:w="2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Older NVDA generations (A100, L40s)</w:t>
            </w:r>
          </w:p>
        </w:tc>
        <w:tc>
          <w:tcPr>
            <w:tcW w:type="dxa" w:w="2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Used for non-latency-critical workloads</w:t>
            </w:r>
          </w:p>
        </w:tc>
        <w:tc>
          <w:tcPr>
            <w:tcW w:type="dxa" w:w="21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Long-tail of older silicon retains value because compute-per-dollar is favorable</w:t>
            </w:r>
          </w:p>
        </w:tc>
      </w:tr>
    </w:tbl>
    <w:p>
      <w:pPr>
        <w:spacing w:after="120" w:before="0"/>
      </w:pPr>
      <w:r>
        <w:t xml:space="preserve"/>
      </w:r>
    </w:p>
    <w:p>
      <w:pPr>
        <w:pStyle w:val="Heading2"/>
        <w:spacing w:after="160" w:before="280"/>
      </w:pPr>
      <w:r>
        <w:rPr>
          <w:rFonts w:ascii="Arial" w:cs="Arial" w:eastAsia="Arial" w:hAnsi="Arial"/>
          <w:b/>
          <w:bCs/>
          <w:color w:val="1B4F8C"/>
          <w:sz w:val="26"/>
          <w:szCs w:val="26"/>
        </w:rPr>
        <w:t xml:space="preserve">5.3 The Inference-Time Reasoning Inflection</w:t>
      </w:r>
    </w:p>
    <w:p>
      <w:pPr>
        <w:spacing w:after="120" w:before="0" w:line="280"/>
        <w:jc w:val="both"/>
      </w:pPr>
      <w:r>
        <w:rPr>
          <w:rFonts w:ascii="Arial" w:cs="Arial" w:eastAsia="Arial" w:hAnsi="Arial"/>
          <w:b w:val="false"/>
          <w:bCs w:val="false"/>
          <w:i w:val="false"/>
          <w:iCs w:val="false"/>
          <w:color w:val="1D2939"/>
          <w:sz w:val="20"/>
          <w:szCs w:val="20"/>
        </w:rPr>
        <w:t xml:space="preserve">The single most important compute-economic shift of 2025–26 has been the move from "smarter models" via larger pretraining to "smarter models" via more inference-time compute. The architecture is straightforward: at inference, the model produces a long internal chain-of-thought before answering. The longer it thinks, the better its answer (within a power-law saturation). This was first demonstrated at scale by OpenAI o1 in late 2024 and has now been adopted across the entire frontier.</w:t>
      </w:r>
    </w:p>
    <w:p>
      <w:pPr>
        <w:spacing w:after="120" w:before="0" w:line="280"/>
        <w:jc w:val="both"/>
      </w:pPr>
      <w:r>
        <w:rPr>
          <w:rFonts w:ascii="Arial" w:cs="Arial" w:eastAsia="Arial" w:hAnsi="Arial"/>
          <w:b w:val="false"/>
          <w:bCs w:val="false"/>
          <w:i w:val="false"/>
          <w:iCs w:val="false"/>
          <w:color w:val="1D2939"/>
          <w:sz w:val="20"/>
          <w:szCs w:val="20"/>
        </w:rPr>
        <w:t xml:space="preserve">Three implications follow that the desk should internalize:</w:t>
      </w:r>
    </w:p>
    <w:p>
      <w:pPr>
        <w:spacing w:after="120" w:before="0" w:line="280"/>
        <w:jc w:val="both"/>
      </w:pPr>
      <w:r>
        <w:rPr>
          <w:rFonts w:ascii="Arial" w:cs="Arial" w:eastAsia="Arial" w:hAnsi="Arial"/>
          <w:b/>
          <w:bCs/>
          <w:i w:val="false"/>
          <w:iCs w:val="false"/>
          <w:color w:val="1D2939"/>
          <w:sz w:val="20"/>
          <w:szCs w:val="20"/>
        </w:rPr>
        <w:t xml:space="preserve">First, </w:t>
      </w:r>
      <w:r>
        <w:rPr>
          <w:rFonts w:ascii="Arial" w:cs="Arial" w:eastAsia="Arial" w:hAnsi="Arial"/>
          <w:b w:val="false"/>
          <w:bCs w:val="false"/>
          <w:i w:val="false"/>
          <w:iCs w:val="false"/>
          <w:color w:val="1D2939"/>
          <w:sz w:val="20"/>
          <w:szCs w:val="20"/>
        </w:rPr>
        <w:t xml:space="preserve">the dominant compute cost has shifted from one-time training events to recurring per-query inference. A frontier lab might spend $3B training Claude Opus 4.6, but if it runs at $30B inference revenue at ~50% gross margin, the inference compute cost is closer to $15B annually. Training is now a small fraction of model-economics opex. This is why model providers' margin compression is such a focus — the cost they cannot fully control (inference) has become the larger cost.</w:t>
      </w:r>
    </w:p>
    <w:p>
      <w:pPr>
        <w:spacing w:after="120" w:before="0" w:line="280"/>
        <w:jc w:val="both"/>
      </w:pPr>
      <w:r>
        <w:rPr>
          <w:rFonts w:ascii="Arial" w:cs="Arial" w:eastAsia="Arial" w:hAnsi="Arial"/>
          <w:b/>
          <w:bCs/>
          <w:i w:val="false"/>
          <w:iCs w:val="false"/>
          <w:color w:val="1D2939"/>
          <w:sz w:val="20"/>
          <w:szCs w:val="20"/>
        </w:rPr>
        <w:t xml:space="preserve">Second, </w:t>
      </w:r>
      <w:r>
        <w:rPr>
          <w:rFonts w:ascii="Arial" w:cs="Arial" w:eastAsia="Arial" w:hAnsi="Arial"/>
          <w:b w:val="false"/>
          <w:bCs w:val="false"/>
          <w:i w:val="false"/>
          <w:iCs w:val="false"/>
          <w:color w:val="1D2939"/>
          <w:sz w:val="20"/>
          <w:szCs w:val="20"/>
        </w:rPr>
        <w:t xml:space="preserve">the locus of competition has moved from "who has the best base model" to "who has the cheapest, fastest reasoning loop." DeepSeek and the Chinese cohort have disproportionately benefited from this shift because reasoning amplifies architectural-efficiency advantages. A model that is 30% faster per token at iso-quality wins 30% more reasoning steps within the same latency budget.</w:t>
      </w:r>
    </w:p>
    <w:p>
      <w:pPr>
        <w:spacing w:after="120" w:before="0" w:line="280"/>
        <w:jc w:val="both"/>
      </w:pPr>
      <w:r>
        <w:rPr>
          <w:rFonts w:ascii="Arial" w:cs="Arial" w:eastAsia="Arial" w:hAnsi="Arial"/>
          <w:b/>
          <w:bCs/>
          <w:i w:val="false"/>
          <w:iCs w:val="false"/>
          <w:color w:val="1D2939"/>
          <w:sz w:val="20"/>
          <w:szCs w:val="20"/>
        </w:rPr>
        <w:t xml:space="preserve">Third, </w:t>
      </w:r>
      <w:r>
        <w:rPr>
          <w:rFonts w:ascii="Arial" w:cs="Arial" w:eastAsia="Arial" w:hAnsi="Arial"/>
          <w:b w:val="false"/>
          <w:bCs w:val="false"/>
          <w:i w:val="false"/>
          <w:iCs w:val="false"/>
          <w:color w:val="1D2939"/>
          <w:sz w:val="20"/>
          <w:szCs w:val="20"/>
        </w:rPr>
        <w:t xml:space="preserve">the supply chain consequences are larger than the model-level consequences. Inference-heavy workloads benefit memory-bandwidth-rich and capacity-rich chips, which advantages HBM4 (currently SK Hynix-led), advantages CoWoS/HBM stacks generally, and rewards silicon designs optimized for memory-bound throughput rather than peak FLOPs. We expect this to continue to bias the winners toward the memory complex (SK Hynix, Micron, Samsung HBM) and packaging (TSMC CoWoS, ASE/Amkor) over pure-compute silicon.</w:t>
      </w:r>
    </w:p>
    <w:p>
      <w:pPr>
        <w:pStyle w:val="Heading2"/>
        <w:spacing w:after="160" w:before="280"/>
      </w:pPr>
      <w:r>
        <w:rPr>
          <w:rFonts w:ascii="Arial" w:cs="Arial" w:eastAsia="Arial" w:hAnsi="Arial"/>
          <w:b/>
          <w:bCs/>
          <w:color w:val="1B4F8C"/>
          <w:sz w:val="26"/>
          <w:szCs w:val="26"/>
        </w:rPr>
        <w:t xml:space="preserve">5.4 The Capex Implications</w:t>
      </w:r>
    </w:p>
    <w:p>
      <w:pPr>
        <w:spacing w:after="120" w:before="0" w:line="280"/>
        <w:jc w:val="both"/>
      </w:pPr>
      <w:r>
        <w:rPr>
          <w:rFonts w:ascii="Arial" w:cs="Arial" w:eastAsia="Arial" w:hAnsi="Arial"/>
          <w:b w:val="false"/>
          <w:bCs w:val="false"/>
          <w:i w:val="false"/>
          <w:iCs w:val="false"/>
          <w:color w:val="1D2939"/>
          <w:sz w:val="20"/>
          <w:szCs w:val="20"/>
        </w:rPr>
        <w:t xml:space="preserve">If inference compute is the larger and faster-growing market, the capex implication is that hyperscalers and neoclouds need to deploy a different mix of silicon than they were buying 18 months ago. The shift is visible in published 2026 capex disclosures: Alphabet's $185B 2026 capex includes a much larger TPU v6 inference allocation than v5p training allocation; AWS Trainium-2 deployments are weighted toward inference clusters serving Bedrock; Meta's $65B+ AI capex is increasingly going to MTIA-2 inference deployments rather than NVDA training clusters.</w:t>
      </w:r>
    </w:p>
    <w:p>
      <w:pPr>
        <w:spacing w:after="120" w:before="0" w:line="280"/>
        <w:jc w:val="both"/>
      </w:pPr>
      <w:r>
        <w:rPr>
          <w:rFonts w:ascii="Arial" w:cs="Arial" w:eastAsia="Arial" w:hAnsi="Arial"/>
          <w:b w:val="false"/>
          <w:bCs w:val="false"/>
          <w:i w:val="false"/>
          <w:iCs w:val="false"/>
          <w:color w:val="1D2939"/>
          <w:sz w:val="20"/>
          <w:szCs w:val="20"/>
        </w:rPr>
        <w:t xml:space="preserve">For the desk, the capex-mix shift creates two non-obvious investment angles. First, inference-optimized custom ASIC vendors (AVGO co-designing TPU and MTIA, MRVL co-designing Trainium) are structurally better positioned than the v1 report suggested. Second, neoclouds whose installed base is biased toward older NVDA generations (A100, H100) are surprisingly well-positioned for the inference market because compute-per-dollar on amortized older silicon is favorable for cost-optimized inference workloads. CoreWeave's inventory mix and CRWV's published utilization data support this.</w:t>
      </w:r>
    </w:p>
    <w:p>
      <w:r>
        <w:br w:type="page"/>
      </w:r>
    </w:p>
    <w:p>
      <w:pPr>
        <w:pStyle w:val="Heading1"/>
        <w:spacing w:after="200" w:before="360"/>
      </w:pPr>
      <w:r>
        <w:rPr>
          <w:rFonts w:ascii="Arial" w:cs="Arial" w:eastAsia="Arial" w:hAnsi="Arial"/>
          <w:b/>
          <w:bCs/>
          <w:color w:val="0B2545"/>
          <w:sz w:val="32"/>
          <w:szCs w:val="32"/>
        </w:rPr>
        <w:t xml:space="preserve">6. GPU vs. TPU vs. Custom Silicon — Architectural Deep Dive</w:t>
      </w:r>
    </w:p>
    <w:p>
      <w:pPr>
        <w:spacing w:after="120" w:before="0" w:line="280"/>
        <w:jc w:val="both"/>
      </w:pPr>
      <w:r>
        <w:rPr>
          <w:rFonts w:ascii="Arial" w:cs="Arial" w:eastAsia="Arial" w:hAnsi="Arial"/>
          <w:b w:val="false"/>
          <w:bCs w:val="false"/>
          <w:i w:val="false"/>
          <w:iCs w:val="false"/>
          <w:color w:val="1D2939"/>
          <w:sz w:val="20"/>
          <w:szCs w:val="20"/>
        </w:rPr>
        <w:t xml:space="preserve">The v1 report covered the silicon supply chain at the company level (NVDA, AVGO, hyperscaler ASICs) but did not address the architectural question of why different chip families exist or which workloads each is best suited for. This section closes that gap. The bottom line for the desk: NVDA's GPU dominance is durable in training and shrinking in inference; Google's TPU is the only credible vertically-integrated alternative; and the broader custom-ASIC tier (Trainium, MTIA, Maia) is real but workload-specific rather than NVDA-displacing.</w:t>
      </w:r>
    </w:p>
    <w:p>
      <w:pPr>
        <w:pStyle w:val="Heading2"/>
        <w:spacing w:after="160" w:before="280"/>
      </w:pPr>
      <w:r>
        <w:rPr>
          <w:rFonts w:ascii="Arial" w:cs="Arial" w:eastAsia="Arial" w:hAnsi="Arial"/>
          <w:b/>
          <w:bCs/>
          <w:color w:val="1B4F8C"/>
          <w:sz w:val="26"/>
          <w:szCs w:val="26"/>
        </w:rPr>
        <w:t xml:space="preserve">6.1 NVIDIA GPUs — Why They Won</w:t>
      </w:r>
    </w:p>
    <w:p>
      <w:pPr>
        <w:spacing w:after="120" w:before="0" w:line="280"/>
        <w:jc w:val="both"/>
      </w:pPr>
      <w:r>
        <w:rPr>
          <w:rFonts w:ascii="Arial" w:cs="Arial" w:eastAsia="Arial" w:hAnsi="Arial"/>
          <w:b w:val="false"/>
          <w:bCs w:val="false"/>
          <w:i w:val="false"/>
          <w:iCs w:val="false"/>
          <w:color w:val="1D2939"/>
          <w:sz w:val="20"/>
          <w:szCs w:val="20"/>
        </w:rPr>
        <w:t xml:space="preserve">NVIDIA's GPU architecture (SIMT, single-instruction multiple-thread) was designed for graphics and incidentally turned out to be well-suited for the dense linear algebra at the heart of deep learning. Its dominance is the product of four reinforcing advantages, each of which is hard to displace independently and impossible to displace simultaneously:</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Architectural flexibility. </w:t>
      </w:r>
      <w:r>
        <w:rPr>
          <w:rFonts w:ascii="Arial" w:cs="Arial" w:eastAsia="Arial" w:hAnsi="Arial"/>
          <w:b w:val="false"/>
          <w:bCs w:val="false"/>
          <w:i w:val="false"/>
          <w:iCs w:val="false"/>
          <w:color w:val="1D2939"/>
          <w:sz w:val="20"/>
          <w:szCs w:val="20"/>
        </w:rPr>
        <w:t xml:space="preserve">GPUs run arbitrary code, not just transformer matmul. This matters because the workload is moving — reasoning, MoE routing, agentic tool-use, multimodal — and architectures that are too specialized to a 2022-era transformer (e.g., some early TPU generations) age badly. NVIDIA chips can run today's workload and next year's.</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CUDA / cuDNN / NCCL software stack. </w:t>
      </w:r>
      <w:r>
        <w:rPr>
          <w:rFonts w:ascii="Arial" w:cs="Arial" w:eastAsia="Arial" w:hAnsi="Arial"/>
          <w:b w:val="false"/>
          <w:bCs w:val="false"/>
          <w:i w:val="false"/>
          <w:iCs w:val="false"/>
          <w:color w:val="1D2939"/>
          <w:sz w:val="20"/>
          <w:szCs w:val="20"/>
        </w:rPr>
        <w:t xml:space="preserve">Roughly 95% of frontier-model training code is written against the CUDA stack. Porting to AMD ROCm or Intel oneAPI is technically feasible but adds 6–18 months to a release cycle and creates ongoing maintenance debt. The software moat is, if anything, larger than the silicon moat.</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NVLink / NVSwitch fabric. </w:t>
      </w:r>
      <w:r>
        <w:rPr>
          <w:rFonts w:ascii="Arial" w:cs="Arial" w:eastAsia="Arial" w:hAnsi="Arial"/>
          <w:b w:val="false"/>
          <w:bCs w:val="false"/>
          <w:i w:val="false"/>
          <w:iCs w:val="false"/>
          <w:color w:val="1D2939"/>
          <w:sz w:val="20"/>
          <w:szCs w:val="20"/>
        </w:rPr>
        <w:t xml:space="preserve">NVIDIA's chip-to-chip interconnect provides ~900 GB/s per direction on Blackwell, with all-to-all connectivity within an NVL72 rack (72 GPUs as one logical accelerator). This is what makes very large models trainable on NVIDIA hardware as a single coherent unit. AMD Infinity Fabric and Intel Xe Link have closed the gap on chip-to-chip but lag on rack-scale topology.</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Volume economics. </w:t>
      </w:r>
      <w:r>
        <w:rPr>
          <w:rFonts w:ascii="Arial" w:cs="Arial" w:eastAsia="Arial" w:hAnsi="Arial"/>
          <w:b w:val="false"/>
          <w:bCs w:val="false"/>
          <w:i w:val="false"/>
          <w:iCs w:val="false"/>
          <w:color w:val="1D2939"/>
          <w:sz w:val="20"/>
          <w:szCs w:val="20"/>
        </w:rPr>
        <w:t xml:space="preserve">NVIDIA holds ~70% of TSMC's CoWoS allocation. This means NVIDIA chips ship in volumes that make per-unit packaging, validation, and logistics costs significantly lower than challengers. A challenger trying to compete on price faces a structural cost disadvantage on the bill of materials.</w:t>
      </w:r>
    </w:p>
    <w:p>
      <w:pPr>
        <w:spacing w:after="120" w:before="0" w:line="280"/>
        <w:jc w:val="both"/>
      </w:pPr>
      <w:r>
        <w:rPr>
          <w:rFonts w:ascii="Arial" w:cs="Arial" w:eastAsia="Arial" w:hAnsi="Arial"/>
          <w:b w:val="false"/>
          <w:bCs w:val="false"/>
          <w:i w:val="false"/>
          <w:iCs w:val="false"/>
          <w:color w:val="1D2939"/>
          <w:sz w:val="20"/>
          <w:szCs w:val="20"/>
        </w:rPr>
        <w:t xml:space="preserve">NVIDIA's 2026 product roadmap continues to extend these advantages. Blackwell B200 (released 2025) and B300 / GB300 NVL72 (2026) are the current training default. Vera Rubin (next-gen, sampling 2026, volume 2027) targets a generational jump in HBM4 capacity and NVLink 6 fabric. NVIDIA also continues to expand into adjacent layers: networking (Mellanox InfiniBand and Spectrum Ethernet), DPU offload (BlueField), and now the application layer (NVDA Cosmos for robotics simulation, NemoClaw for agentic security).</w:t>
      </w:r>
    </w:p>
    <w:p>
      <w:pPr>
        <w:pStyle w:val="Heading2"/>
        <w:spacing w:after="160" w:before="280"/>
      </w:pPr>
      <w:r>
        <w:rPr>
          <w:rFonts w:ascii="Arial" w:cs="Arial" w:eastAsia="Arial" w:hAnsi="Arial"/>
          <w:b/>
          <w:bCs/>
          <w:color w:val="1B4F8C"/>
          <w:sz w:val="26"/>
          <w:szCs w:val="26"/>
        </w:rPr>
        <w:t xml:space="preserve">6.2 Google TPU — The Systolic Array Alternative</w:t>
      </w:r>
    </w:p>
    <w:p>
      <w:pPr>
        <w:spacing w:after="120" w:before="0" w:line="280"/>
        <w:jc w:val="both"/>
      </w:pPr>
      <w:r>
        <w:rPr>
          <w:rFonts w:ascii="Arial" w:cs="Arial" w:eastAsia="Arial" w:hAnsi="Arial"/>
          <w:b w:val="false"/>
          <w:bCs w:val="false"/>
          <w:i w:val="false"/>
          <w:iCs w:val="false"/>
          <w:color w:val="1D2939"/>
          <w:sz w:val="20"/>
          <w:szCs w:val="20"/>
        </w:rPr>
        <w:t xml:space="preserve">Google designed its Tensor Processing Unit specifically for the matrix-multiply workloads that dominate deep learning. The architectural difference is substantive: where a GPU executes thousands of independent threads on a unified memory hierarchy, a TPU is built around a large "systolic array" — a 2D grid of multiply-accumulate units that pump data through in lockstep. Systolic arrays are dramatically more efficient at matmul (which is most of an LLM forward pass) but lose efficiency on irregular workloads.</w:t>
      </w:r>
    </w:p>
    <w:p>
      <w:pPr>
        <w:spacing w:after="120" w:before="0" w:line="280"/>
        <w:jc w:val="both"/>
      </w:pPr>
      <w:r>
        <w:rPr>
          <w:rFonts w:ascii="Arial" w:cs="Arial" w:eastAsia="Arial" w:hAnsi="Arial"/>
          <w:b w:val="false"/>
          <w:bCs w:val="false"/>
          <w:i w:val="false"/>
          <w:iCs w:val="false"/>
          <w:color w:val="1D2939"/>
          <w:sz w:val="20"/>
          <w:szCs w:val="20"/>
        </w:rPr>
        <w:t xml:space="preserve">Three TPU advantages worth understanding:</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Workload-matched efficiency. </w:t>
      </w:r>
      <w:r>
        <w:rPr>
          <w:rFonts w:ascii="Arial" w:cs="Arial" w:eastAsia="Arial" w:hAnsi="Arial"/>
          <w:b w:val="false"/>
          <w:bCs w:val="false"/>
          <w:i w:val="false"/>
          <w:iCs w:val="false"/>
          <w:color w:val="1D2939"/>
          <w:sz w:val="20"/>
          <w:szCs w:val="20"/>
        </w:rPr>
        <w:t xml:space="preserve">On pure transformer training and inference, a TPU v6 (Trillium) delivers more tokens per dollar than an equivalently-priced NVIDIA Blackwell instance. This is a real advantage but only for customers running on Google Cloud (TPUs are not sold as discrete hardware to non-cloud customers).</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Optical Circuit Switch fabric. </w:t>
      </w:r>
      <w:r>
        <w:rPr>
          <w:rFonts w:ascii="Arial" w:cs="Arial" w:eastAsia="Arial" w:hAnsi="Arial"/>
          <w:b w:val="false"/>
          <w:bCs w:val="false"/>
          <w:i w:val="false"/>
          <w:iCs w:val="false"/>
          <w:color w:val="1D2939"/>
          <w:sz w:val="20"/>
          <w:szCs w:val="20"/>
        </w:rPr>
        <w:t xml:space="preserve">TPU pods use OCS interconnect that allows much larger scale-up domains than NVLink (TPU v5p reached 4,096 chips in a single coherent pod; v6 is reportedly higher). This matters for very large training runs where intra-pod communication dominates.</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Vertical integration with Google's stack. </w:t>
      </w:r>
      <w:r>
        <w:rPr>
          <w:rFonts w:ascii="Arial" w:cs="Arial" w:eastAsia="Arial" w:hAnsi="Arial"/>
          <w:b w:val="false"/>
          <w:bCs w:val="false"/>
          <w:i w:val="false"/>
          <w:iCs w:val="false"/>
          <w:color w:val="1D2939"/>
          <w:sz w:val="20"/>
          <w:szCs w:val="20"/>
        </w:rPr>
        <w:t xml:space="preserve">JAX (Google's preferred ML framework) is co-designed with TPUs. Pathways (Google's distributed training infrastructure) is co-designed with TPU pods. Gemini training runs on TPUs end-to-end. This level of vertical integration is impossible to replicate without owning the silicon, which is why Anthropic's multi-GW TPU commitment is so notable — it's the first major external party to commit to the TPU stack at frontier scale.</w:t>
      </w:r>
    </w:p>
    <w:p>
      <w:pPr>
        <w:spacing w:after="120" w:before="0" w:line="280"/>
        <w:jc w:val="both"/>
      </w:pPr>
      <w:r>
        <w:rPr>
          <w:rFonts w:ascii="Arial" w:cs="Arial" w:eastAsia="Arial" w:hAnsi="Arial"/>
          <w:b w:val="false"/>
          <w:bCs w:val="false"/>
          <w:i w:val="false"/>
          <w:iCs w:val="false"/>
          <w:color w:val="1D2939"/>
          <w:sz w:val="20"/>
          <w:szCs w:val="20"/>
        </w:rPr>
        <w:t xml:space="preserve">The TPU disadvantage is rigidity. Each generation's systolic array is sized for the workloads dominant at that generation's design horizon. TPU v3/v4 were less well-suited to MoE because the routing logic does not vectorize cleanly into a systolic array; v5/v6 have addressed this with mixed-precision and dynamic routing support, but adapting to the next architectural shift (e.g., diffusion-based language models, or whatever follows transformers) carries more re-architecture risk than for GPUs.</w:t>
      </w:r>
    </w:p>
    <w:p>
      <w:pPr>
        <w:pStyle w:val="Heading2"/>
        <w:spacing w:after="160" w:before="280"/>
      </w:pPr>
      <w:r>
        <w:rPr>
          <w:rFonts w:ascii="Arial" w:cs="Arial" w:eastAsia="Arial" w:hAnsi="Arial"/>
          <w:b/>
          <w:bCs/>
          <w:color w:val="1B4F8C"/>
          <w:sz w:val="26"/>
          <w:szCs w:val="26"/>
        </w:rPr>
        <w:t xml:space="preserve">6.3 Hyperscaler Custom Silicon</w:t>
      </w:r>
    </w:p>
    <w:p>
      <w:pPr>
        <w:spacing w:after="120" w:before="0" w:line="280"/>
        <w:jc w:val="both"/>
      </w:pPr>
      <w:r>
        <w:rPr>
          <w:rFonts w:ascii="Arial" w:cs="Arial" w:eastAsia="Arial" w:hAnsi="Arial"/>
          <w:b w:val="false"/>
          <w:bCs w:val="false"/>
          <w:i w:val="false"/>
          <w:iCs w:val="false"/>
          <w:color w:val="1D2939"/>
          <w:sz w:val="20"/>
          <w:szCs w:val="20"/>
        </w:rPr>
        <w:t xml:space="preserve">Beyond Google, three other major hyperscalers have shipped meaningful custom silicon. Each represents a different strategic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700"/>
        <w:gridCol w:w="2960"/>
      </w:tblGrid>
      <w:tr>
        <w:trPr>
          <w:tblHeader/>
        </w:trPr>
        <w:tc>
          <w:tcPr>
            <w:tcW w:type="dxa" w:w="20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Hyperscaler ASIC</w:t>
            </w:r>
          </w:p>
        </w:tc>
        <w:tc>
          <w:tcPr>
            <w:tcW w:type="dxa" w:w="17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Status</w:t>
            </w:r>
          </w:p>
        </w:tc>
        <w:tc>
          <w:tcPr>
            <w:tcW w:type="dxa" w:w="27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Architecture / Workload</w:t>
            </w:r>
          </w:p>
        </w:tc>
        <w:tc>
          <w:tcPr>
            <w:tcW w:type="dxa" w:w="296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Investment Implication</w:t>
            </w:r>
          </w:p>
        </w:tc>
      </w:tr>
      <w:tr>
        <w:trPr>
          <w:tblHeader w:val="false"/>
        </w:trPr>
        <w:tc>
          <w:tcPr>
            <w:tcW w:type="dxa" w:w="20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AWS Trainium 2 / Trainium 3</w:t>
            </w:r>
          </w:p>
        </w:tc>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Volume production</w:t>
            </w:r>
          </w:p>
        </w:tc>
        <w:tc>
          <w:tcPr>
            <w:tcW w:type="dxa" w:w="2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Systolic-array training/inference; 2GW Anthropic deal; deployed in Bedrock</w:t>
            </w:r>
          </w:p>
        </w:tc>
        <w:tc>
          <w:tcPr>
            <w:tcW w:type="dxa" w:w="29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Positive for AVGO (co-design partner), MRVL (also co-design), AMZN (capex efficiency)</w:t>
            </w:r>
          </w:p>
        </w:tc>
      </w:tr>
      <w:tr>
        <w:trPr>
          <w:tblHeader w:val="false"/>
        </w:trPr>
        <w:tc>
          <w:tcPr>
            <w:tcW w:type="dxa" w:w="20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AWS Inferentia 2 / 3</w:t>
            </w:r>
          </w:p>
        </w:tc>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Volume production</w:t>
            </w:r>
          </w:p>
        </w:tc>
        <w:tc>
          <w:tcPr>
            <w:tcW w:type="dxa" w:w="2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Inference-optimized; lower-cost decode; targets Bedrock high-volume APIs</w:t>
            </w:r>
          </w:p>
        </w:tc>
        <w:tc>
          <w:tcPr>
            <w:tcW w:type="dxa" w:w="29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Marginal — modest displacement of NVDA inference share</w:t>
            </w:r>
          </w:p>
        </w:tc>
      </w:tr>
      <w:tr>
        <w:trPr>
          <w:tblHeader w:val="false"/>
        </w:trPr>
        <w:tc>
          <w:tcPr>
            <w:tcW w:type="dxa" w:w="20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Meta MTIA-2 / MTIA-3</w:t>
            </w:r>
          </w:p>
        </w:tc>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Volume production</w:t>
            </w:r>
          </w:p>
        </w:tc>
        <w:tc>
          <w:tcPr>
            <w:tcW w:type="dxa" w:w="2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Inference-first; ranking and recsys at hyperscale; 2026 ramp into LLM inference</w:t>
            </w:r>
          </w:p>
        </w:tc>
        <w:tc>
          <w:tcPr>
            <w:tcW w:type="dxa" w:w="29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Positive for META (capex efficiency), AVGO (co-design), modestly negative for NVDA inference share</w:t>
            </w:r>
          </w:p>
        </w:tc>
      </w:tr>
      <w:tr>
        <w:trPr>
          <w:tblHeader w:val="false"/>
        </w:trPr>
        <w:tc>
          <w:tcPr>
            <w:tcW w:type="dxa" w:w="20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Microsoft Maia 100 / 200</w:t>
            </w:r>
          </w:p>
        </w:tc>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Limited production</w:t>
            </w:r>
          </w:p>
        </w:tc>
        <w:tc>
          <w:tcPr>
            <w:tcW w:type="dxa" w:w="2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Training and inference; Azure AI; targets OpenAI workload offload</w:t>
            </w:r>
          </w:p>
        </w:tc>
        <w:tc>
          <w:tcPr>
            <w:tcW w:type="dxa" w:w="29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Strategically important, commercially nascent — Maia displacement of NVDA at Azure is a 2027–28 question</w:t>
            </w:r>
          </w:p>
        </w:tc>
      </w:tr>
      <w:tr>
        <w:trPr>
          <w:tblHeader w:val="false"/>
        </w:trPr>
        <w:tc>
          <w:tcPr>
            <w:tcW w:type="dxa" w:w="20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Apple Silicon (server SKU, rumored)</w:t>
            </w:r>
          </w:p>
        </w:tc>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Pre-production rumored</w:t>
            </w:r>
          </w:p>
        </w:tc>
        <w:tc>
          <w:tcPr>
            <w:tcW w:type="dxa" w:w="2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Speculation: M-Pro datacenter chip for Private Cloud Compute; possibly externally available</w:t>
            </w:r>
          </w:p>
        </w:tc>
        <w:tc>
          <w:tcPr>
            <w:tcW w:type="dxa" w:w="29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Speculative; would extend the local-AI thesis for AAPL</w:t>
            </w:r>
          </w:p>
        </w:tc>
      </w:tr>
      <w:tr>
        <w:trPr>
          <w:tblHeader w:val="false"/>
        </w:trPr>
        <w:tc>
          <w:tcPr>
            <w:tcW w:type="dxa" w:w="20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Tesla Dojo D2</w:t>
            </w:r>
          </w:p>
        </w:tc>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In-house only</w:t>
            </w:r>
          </w:p>
        </w:tc>
        <w:tc>
          <w:tcPr>
            <w:tcW w:type="dxa" w:w="2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Tesla autonomy training; not externally available</w:t>
            </w:r>
          </w:p>
        </w:tc>
        <w:tc>
          <w:tcPr>
            <w:tcW w:type="dxa" w:w="29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Not directly investable; supports TSLA AI capex offset</w:t>
            </w:r>
          </w:p>
        </w:tc>
      </w:tr>
      <w:tr>
        <w:trPr>
          <w:tblHeader w:val="false"/>
        </w:trPr>
        <w:tc>
          <w:tcPr>
            <w:tcW w:type="dxa" w:w="20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Huawei Ascend 950PR</w:t>
            </w:r>
          </w:p>
        </w:tc>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Production (China)</w:t>
            </w:r>
          </w:p>
        </w:tc>
        <w:tc>
          <w:tcPr>
            <w:tcW w:type="dxa" w:w="2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GPU-class accelerator for Chinese labs; DeepSeek V4 is rumored to run on this</w:t>
            </w:r>
          </w:p>
        </w:tc>
        <w:tc>
          <w:tcPr>
            <w:tcW w:type="dxa" w:w="29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Negative for NVDA China share; positive for Chinese lab independence</w:t>
            </w:r>
          </w:p>
        </w:tc>
      </w:tr>
    </w:tbl>
    <w:p>
      <w:pPr>
        <w:spacing w:after="120" w:before="0"/>
      </w:pPr>
      <w:r>
        <w:t xml:space="preserve"/>
      </w:r>
    </w:p>
    <w:p>
      <w:pPr>
        <w:pStyle w:val="Heading2"/>
        <w:spacing w:after="160" w:before="280"/>
      </w:pPr>
      <w:r>
        <w:rPr>
          <w:rFonts w:ascii="Arial" w:cs="Arial" w:eastAsia="Arial" w:hAnsi="Arial"/>
          <w:b/>
          <w:bCs/>
          <w:color w:val="1B4F8C"/>
          <w:sz w:val="26"/>
          <w:szCs w:val="26"/>
        </w:rPr>
        <w:t xml:space="preserve">6.4 The Architectural Comparison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660"/>
      </w:tblGrid>
      <w:tr>
        <w:trPr>
          <w:tblHeader/>
        </w:trPr>
        <w:tc>
          <w:tcPr>
            <w:tcW w:type="dxa" w:w="22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Dimension</w:t>
            </w:r>
          </w:p>
        </w:tc>
        <w:tc>
          <w:tcPr>
            <w:tcW w:type="dxa" w:w="22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GPU (NVIDIA)</w:t>
            </w:r>
          </w:p>
        </w:tc>
        <w:tc>
          <w:tcPr>
            <w:tcW w:type="dxa" w:w="22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TPU (Google)</w:t>
            </w:r>
          </w:p>
        </w:tc>
        <w:tc>
          <w:tcPr>
            <w:tcW w:type="dxa" w:w="266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Custom ASICs (AWS, Meta, MSFT)</w:t>
            </w:r>
          </w:p>
        </w:tc>
      </w:tr>
      <w:tr>
        <w:trPr>
          <w:tblHeader w:val="false"/>
        </w:trPr>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Architecture</w:t>
            </w:r>
          </w:p>
        </w:tc>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SIMT, general-purpose parallel</w:t>
            </w:r>
          </w:p>
        </w:tc>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Systolic array, matmul-specialized</w:t>
            </w:r>
          </w:p>
        </w:tc>
        <w:tc>
          <w:tcPr>
            <w:tcW w:type="dxa" w:w="26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Systolic / dataflow, workload-specialized</w:t>
            </w:r>
          </w:p>
        </w:tc>
      </w:tr>
      <w:tr>
        <w:trPr>
          <w:tblHeader w:val="false"/>
        </w:trPr>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Software stack</w:t>
            </w:r>
          </w:p>
        </w:tc>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CUDA, broad ecosystem</w:t>
            </w:r>
          </w:p>
        </w:tc>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JAX/XLA, TF, Pathways</w:t>
            </w:r>
          </w:p>
        </w:tc>
        <w:tc>
          <w:tcPr>
            <w:tcW w:type="dxa" w:w="26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Each vendor proprietary; PyTorch ports of varying maturity</w:t>
            </w:r>
          </w:p>
        </w:tc>
      </w:tr>
      <w:tr>
        <w:trPr>
          <w:tblHeader w:val="false"/>
        </w:trPr>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Workload flexibility</w:t>
            </w:r>
          </w:p>
        </w:tc>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High — runs anything</w:t>
            </w:r>
          </w:p>
        </w:tc>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Medium — best on transformer/matmul</w:t>
            </w:r>
          </w:p>
        </w:tc>
        <w:tc>
          <w:tcPr>
            <w:tcW w:type="dxa" w:w="26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Low — designed for specific workloads</w:t>
            </w:r>
          </w:p>
        </w:tc>
      </w:tr>
      <w:tr>
        <w:trPr>
          <w:tblHeader w:val="false"/>
        </w:trPr>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Memory bandwidth</w:t>
            </w:r>
          </w:p>
        </w:tc>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Up to 8 TB/s (B300)</w:t>
            </w:r>
          </w:p>
        </w:tc>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~2.8 TB/s (Trillium)</w:t>
            </w:r>
          </w:p>
        </w:tc>
        <w:tc>
          <w:tcPr>
            <w:tcW w:type="dxa" w:w="26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Vendor-dependent; generally lower</w:t>
            </w:r>
          </w:p>
        </w:tc>
      </w:tr>
      <w:tr>
        <w:trPr>
          <w:tblHeader w:val="false"/>
        </w:trPr>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Scale-up domain</w:t>
            </w:r>
          </w:p>
        </w:tc>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NVL72 = 72 GPUs</w:t>
            </w:r>
          </w:p>
        </w:tc>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TPU v5p pod = 4,096 chips</w:t>
            </w:r>
          </w:p>
        </w:tc>
        <w:tc>
          <w:tcPr>
            <w:tcW w:type="dxa" w:w="26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Vendor-dependent; generally smaller</w:t>
            </w:r>
          </w:p>
        </w:tc>
      </w:tr>
      <w:tr>
        <w:trPr>
          <w:tblHeader w:val="false"/>
        </w:trPr>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Externally available</w:t>
            </w:r>
          </w:p>
        </w:tc>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Yes (sells discrete hardware)</w:t>
            </w:r>
          </w:p>
        </w:tc>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No (Google Cloud only)</w:t>
            </w:r>
          </w:p>
        </w:tc>
        <w:tc>
          <w:tcPr>
            <w:tcW w:type="dxa" w:w="26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No (hyperscaler-internal)</w:t>
            </w:r>
          </w:p>
        </w:tc>
      </w:tr>
      <w:tr>
        <w:trPr>
          <w:tblHeader w:val="false"/>
        </w:trPr>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Best for</w:t>
            </w:r>
          </w:p>
        </w:tc>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Training + flexible inference</w:t>
            </w:r>
          </w:p>
        </w:tc>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Google-Cloud customers; scale-up training</w:t>
            </w:r>
          </w:p>
        </w:tc>
        <w:tc>
          <w:tcPr>
            <w:tcW w:type="dxa" w:w="26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First-party inference at hyperscaler scale</w:t>
            </w:r>
          </w:p>
        </w:tc>
      </w:tr>
    </w:tbl>
    <w:p>
      <w:pPr>
        <w:spacing w:after="120" w:before="0"/>
      </w:pPr>
      <w:r>
        <w:t xml:space="preserve"/>
      </w:r>
    </w:p>
    <w:p>
      <w:pPr>
        <w:pStyle w:val="Heading2"/>
        <w:spacing w:after="160" w:before="280"/>
      </w:pPr>
      <w:r>
        <w:rPr>
          <w:rFonts w:ascii="Arial" w:cs="Arial" w:eastAsia="Arial" w:hAnsi="Arial"/>
          <w:b/>
          <w:bCs/>
          <w:color w:val="1B4F8C"/>
          <w:sz w:val="26"/>
          <w:szCs w:val="26"/>
        </w:rPr>
        <w:t xml:space="preserve">6.5 Read for the Desk</w:t>
      </w:r>
    </w:p>
    <w:p>
      <w:pPr>
        <w:spacing w:after="120" w:before="0" w:line="280"/>
        <w:jc w:val="both"/>
      </w:pPr>
      <w:r>
        <w:rPr>
          <w:rFonts w:ascii="Arial" w:cs="Arial" w:eastAsia="Arial" w:hAnsi="Arial"/>
          <w:b w:val="false"/>
          <w:bCs w:val="false"/>
          <w:i w:val="false"/>
          <w:iCs w:val="false"/>
          <w:color w:val="1D2939"/>
          <w:sz w:val="20"/>
          <w:szCs w:val="20"/>
        </w:rPr>
        <w:t xml:space="preserve">The architectural picture is not winner-take-all. NVIDIA wins training. TPUs win the Google-vertical and now the Anthropic-vertical. AWS Trainium wins the cost-conscious second-tier inference workload. Meta MTIA wins Meta-internal inference. Each player has carved out a domain that matches its strategic priorities.</w:t>
      </w:r>
    </w:p>
    <w:p>
      <w:pPr>
        <w:spacing w:after="120" w:before="0" w:line="280"/>
        <w:jc w:val="both"/>
      </w:pPr>
      <w:r>
        <w:rPr>
          <w:rFonts w:ascii="Arial" w:cs="Arial" w:eastAsia="Arial" w:hAnsi="Arial"/>
          <w:b w:val="false"/>
          <w:bCs w:val="false"/>
          <w:i w:val="false"/>
          <w:iCs w:val="false"/>
          <w:color w:val="1D2939"/>
          <w:sz w:val="20"/>
          <w:szCs w:val="20"/>
        </w:rPr>
        <w:t xml:space="preserve">For investment purposes, the implication is that NVIDIA's growth story has shifted from "capture all of AI compute" to "remain dominant at training while ceding select inference share to custom silicon designed by AVGO and MRVL." This is not bearish for NVDA — training is the highest-margin tier and the company maintains a structural moat there — but it does support a re-rating thesis for the custom-silicon tier (AVGO, MRVL) which had been treated as a secondary derivative of NVDA growth in v1.</w:t>
      </w:r>
    </w:p>
    <w:p>
      <w:pPr>
        <w:spacing w:after="120" w:before="0" w:line="280"/>
        <w:jc w:val="both"/>
      </w:pPr>
      <w:r>
        <w:rPr>
          <w:rFonts w:ascii="Arial" w:cs="Arial" w:eastAsia="Arial" w:hAnsi="Arial"/>
          <w:b w:val="false"/>
          <w:bCs w:val="false"/>
          <w:i w:val="false"/>
          <w:iCs w:val="false"/>
          <w:color w:val="1D2939"/>
          <w:sz w:val="20"/>
          <w:szCs w:val="20"/>
        </w:rPr>
        <w:t xml:space="preserve">The most consequential second-order implication is that AVGO is the most undervalued name in the entire AI silicon complex. AVGO is the co-design partner on Google TPU, on Meta MTIA, and on multiple unannounced hyperscaler programs. Its ~$100B-by-2027 custom-ASIC revenue target is consistent with the inference-shift thesis above. We continue to recommend Overweight and have raised our analytical conviction since v1.</w:t>
      </w:r>
    </w:p>
    <w:p>
      <w:r>
        <w:br w:type="page"/>
      </w:r>
    </w:p>
    <w:p>
      <w:pPr>
        <w:pStyle w:val="Heading1"/>
        <w:spacing w:after="200" w:before="360"/>
      </w:pPr>
      <w:r>
        <w:rPr>
          <w:rFonts w:ascii="Arial" w:cs="Arial" w:eastAsia="Arial" w:hAnsi="Arial"/>
          <w:b/>
          <w:bCs/>
          <w:color w:val="0B2545"/>
          <w:sz w:val="32"/>
          <w:szCs w:val="32"/>
        </w:rPr>
        <w:t xml:space="preserve">7. Gaining Exposure to Private AI Companies</w:t>
      </w:r>
    </w:p>
    <w:p>
      <w:pPr>
        <w:spacing w:after="120" w:before="0" w:line="280"/>
        <w:jc w:val="both"/>
      </w:pPr>
      <w:r>
        <w:rPr>
          <w:rFonts w:ascii="Arial" w:cs="Arial" w:eastAsia="Arial" w:hAnsi="Arial"/>
          <w:b w:val="false"/>
          <w:bCs w:val="false"/>
          <w:i w:val="false"/>
          <w:iCs w:val="false"/>
          <w:color w:val="1D2939"/>
          <w:sz w:val="20"/>
          <w:szCs w:val="20"/>
        </w:rPr>
        <w:t xml:space="preserve">With OpenAI, Anthropic, xAI, and Mistral all private, the dominant public-market question from allocators is how to gain exposure without waiting for IPO cycles. There are now three distinct exposure tiers available, each with different liquidity, cost, and correlation profiles. This section is largely preserved from v1, with updates to reflect the April 2026 landscape.</w:t>
      </w:r>
    </w:p>
    <w:p>
      <w:pPr>
        <w:pStyle w:val="Heading2"/>
        <w:spacing w:after="160" w:before="280"/>
      </w:pPr>
      <w:r>
        <w:rPr>
          <w:rFonts w:ascii="Arial" w:cs="Arial" w:eastAsia="Arial" w:hAnsi="Arial"/>
          <w:b/>
          <w:bCs/>
          <w:color w:val="1B4F8C"/>
          <w:sz w:val="26"/>
          <w:szCs w:val="26"/>
        </w:rPr>
        <w:t xml:space="preserve">7.1 Tier 1: Public-Market Strategic Investor Proxies</w:t>
      </w:r>
    </w:p>
    <w:p>
      <w:pPr>
        <w:spacing w:after="120" w:before="0" w:line="280"/>
        <w:jc w:val="both"/>
      </w:pPr>
      <w:r>
        <w:rPr>
          <w:rFonts w:ascii="Arial" w:cs="Arial" w:eastAsia="Arial" w:hAnsi="Arial"/>
          <w:b w:val="false"/>
          <w:bCs w:val="false"/>
          <w:i w:val="false"/>
          <w:iCs w:val="false"/>
          <w:color w:val="1D2939"/>
          <w:sz w:val="20"/>
          <w:szCs w:val="20"/>
        </w:rPr>
        <w:t xml:space="preserve">The cleanest, most liquid path is to purchase the public equities of strategic investors who hold material private AI stakes. Microsoft's 27% equity interest in OpenAI, combined with its 20% revenue-share agreement through 2032, makes MSFT effectively the largest publicly traded OpenAI proxy. Alphabet holds a roughly 10% stake in Anthropic (origin: $300M investment April 2023) alongside its in-house Gemini and TPU stack. Amazon has committed up to $25B in Anthropic investment and has secured 2GW of AWS Trainium compute for Anthropic workloads.</w:t>
      </w:r>
    </w:p>
    <w:p>
      <w:pPr>
        <w:pStyle w:val="Heading2"/>
        <w:spacing w:after="160" w:before="280"/>
      </w:pPr>
      <w:r>
        <w:rPr>
          <w:rFonts w:ascii="Arial" w:cs="Arial" w:eastAsia="Arial" w:hAnsi="Arial"/>
          <w:b/>
          <w:bCs/>
          <w:color w:val="1B4F8C"/>
          <w:sz w:val="26"/>
          <w:szCs w:val="26"/>
        </w:rPr>
        <w:t xml:space="preserve">7.2 Tier 2: Publicly Traded Venture Vehicles</w:t>
      </w:r>
    </w:p>
    <w:p>
      <w:pPr>
        <w:spacing w:after="120" w:before="0" w:line="280"/>
        <w:jc w:val="both"/>
      </w:pPr>
      <w:r>
        <w:rPr>
          <w:rFonts w:ascii="Arial" w:cs="Arial" w:eastAsia="Arial" w:hAnsi="Arial"/>
          <w:b w:val="false"/>
          <w:bCs w:val="false"/>
          <w:i w:val="false"/>
          <w:iCs w:val="false"/>
          <w:color w:val="1D2939"/>
          <w:sz w:val="20"/>
          <w:szCs w:val="20"/>
        </w:rPr>
        <w:t xml:space="preserve">For more direct exposure to private AI stakes, a new generation of publicly accessible vehicles has emerged. The Destiny Tech100 (NYSE: DXYZ) is the most liquid — a closed-end fund holding OpenAI, SpaceX, Anthropic, and Epic Games. Caveat: DXYZ trades at a persistent premium to NAV. The ARK Venture Fund (ARKVX) is an interval fund with ~40% concentration in five private names (SpaceX, OpenAI, Anthropic, among others). Interval-fund structure means quarterly redemption only — this is not a liquid instrument.</w:t>
      </w:r>
    </w:p>
    <w:p>
      <w:pPr>
        <w:pStyle w:val="Heading2"/>
        <w:spacing w:after="160" w:before="280"/>
      </w:pPr>
      <w:r>
        <w:rPr>
          <w:rFonts w:ascii="Arial" w:cs="Arial" w:eastAsia="Arial" w:hAnsi="Arial"/>
          <w:b/>
          <w:bCs/>
          <w:color w:val="1B4F8C"/>
          <w:sz w:val="26"/>
          <w:szCs w:val="26"/>
        </w:rPr>
        <w:t xml:space="preserve">7.3 Tier 3: Direct Pre-IPO Platforms</w:t>
      </w:r>
    </w:p>
    <w:p>
      <w:pPr>
        <w:spacing w:after="120" w:before="0" w:line="280"/>
        <w:jc w:val="both"/>
      </w:pPr>
      <w:r>
        <w:rPr>
          <w:rFonts w:ascii="Arial" w:cs="Arial" w:eastAsia="Arial" w:hAnsi="Arial"/>
          <w:b w:val="false"/>
          <w:bCs w:val="false"/>
          <w:i w:val="false"/>
          <w:iCs w:val="false"/>
          <w:color w:val="1D2939"/>
          <w:sz w:val="20"/>
          <w:szCs w:val="20"/>
        </w:rPr>
        <w:t xml:space="preserve">For accredited investors seeking direct ownership, secondary marketplaces Hiive and Forge facilitate purchases of private-company shares directly from employees, early investors, and VC firms. Anthropic is currently among the most active names on Hiive with 46 active orders as of this writing. AngelList's USVC (launched April 22, 2026) is a notable democratization: $500 minimum, non-accredited investors eligible, and a 1% management fee with no traditional venture carry. Robinhood Ventures Fund I purchased $75M of OpenAI stock in April 2026 and is publicly accessible to retail.</w:t>
      </w:r>
    </w:p>
    <w:p>
      <w:pPr>
        <w:pStyle w:val="Heading2"/>
        <w:spacing w:after="160" w:before="280"/>
      </w:pPr>
      <w:r>
        <w:rPr>
          <w:rFonts w:ascii="Arial" w:cs="Arial" w:eastAsia="Arial" w:hAnsi="Arial"/>
          <w:b/>
          <w:bCs/>
          <w:color w:val="1B4F8C"/>
          <w:sz w:val="26"/>
          <w:szCs w:val="26"/>
        </w:rPr>
        <w:t xml:space="preserve">7.4 Exposure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700"/>
        <w:gridCol w:w="2860"/>
      </w:tblGrid>
      <w:tr>
        <w:trPr>
          <w:tblHeader/>
        </w:trPr>
        <w:tc>
          <w:tcPr>
            <w:tcW w:type="dxa" w:w="19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Vehicle</w:t>
            </w:r>
          </w:p>
        </w:tc>
        <w:tc>
          <w:tcPr>
            <w:tcW w:type="dxa" w:w="19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Ticker / Access</w:t>
            </w:r>
          </w:p>
        </w:tc>
        <w:tc>
          <w:tcPr>
            <w:tcW w:type="dxa" w:w="27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AI Exposure</w:t>
            </w:r>
          </w:p>
        </w:tc>
        <w:tc>
          <w:tcPr>
            <w:tcW w:type="dxa" w:w="286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Notes</w:t>
            </w:r>
          </w:p>
        </w:tc>
      </w:tr>
      <w:tr>
        <w:trPr>
          <w:tblHeader w:val="false"/>
        </w:trPr>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Microsoft</w:t>
            </w:r>
          </w:p>
        </w:tc>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NASDAQ: MSFT</w:t>
            </w:r>
          </w:p>
        </w:tc>
        <w:tc>
          <w:tcPr>
            <w:tcW w:type="dxa" w:w="2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OpenAI (27% equity + 20% rev-share through 2032)</w:t>
            </w:r>
          </w:p>
        </w:tc>
        <w:tc>
          <w:tcPr>
            <w:tcW w:type="dxa" w:w="28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Cleanest public-market proxy for OpenAI; additional Azure AI tailwind</w:t>
            </w:r>
          </w:p>
        </w:tc>
      </w:tr>
      <w:tr>
        <w:trPr>
          <w:tblHeader w:val="false"/>
        </w:trPr>
        <w:tc>
          <w:tcPr>
            <w:tcW w:type="dxa" w:w="19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Alphabet</w:t>
            </w:r>
          </w:p>
        </w:tc>
        <w:tc>
          <w:tcPr>
            <w:tcW w:type="dxa" w:w="19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NASDAQ: GOOGL</w:t>
            </w:r>
          </w:p>
        </w:tc>
        <w:tc>
          <w:tcPr>
            <w:tcW w:type="dxa" w:w="2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Anthropic equity stake + Gemini/DeepMind + TPU</w:t>
            </w:r>
          </w:p>
        </w:tc>
        <w:tc>
          <w:tcPr>
            <w:tcW w:type="dxa" w:w="28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Triple-vector exposure: proprietary Gemini, competitor funding, and TPU-as-a-service</w:t>
            </w:r>
          </w:p>
        </w:tc>
      </w:tr>
      <w:tr>
        <w:trPr>
          <w:tblHeader w:val="false"/>
        </w:trPr>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Amazon</w:t>
            </w:r>
          </w:p>
        </w:tc>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NASDAQ: AMZN</w:t>
            </w:r>
          </w:p>
        </w:tc>
        <w:tc>
          <w:tcPr>
            <w:tcW w:type="dxa" w:w="2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Anthropic: $8B+ invested, 2GW AWS Trainium deal</w:t>
            </w:r>
          </w:p>
        </w:tc>
        <w:tc>
          <w:tcPr>
            <w:tcW w:type="dxa" w:w="28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AWS remains largest cloud beneficiary of AI buildout</w:t>
            </w:r>
          </w:p>
        </w:tc>
      </w:tr>
      <w:tr>
        <w:trPr>
          <w:tblHeader w:val="false"/>
        </w:trPr>
        <w:tc>
          <w:tcPr>
            <w:tcW w:type="dxa" w:w="19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Apple</w:t>
            </w:r>
          </w:p>
        </w:tc>
        <w:tc>
          <w:tcPr>
            <w:tcW w:type="dxa" w:w="19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NASDAQ: AAPL</w:t>
            </w:r>
          </w:p>
        </w:tc>
        <w:tc>
          <w:tcPr>
            <w:tcW w:type="dxa" w:w="2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Hardware vendor for local-AI tier; Apple Intelligence first-party stack</w:t>
            </w:r>
          </w:p>
        </w:tc>
        <w:tc>
          <w:tcPr>
            <w:tcW w:type="dxa" w:w="28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Tactical Overweight (new in v2); see Section 4.4</w:t>
            </w:r>
          </w:p>
        </w:tc>
      </w:tr>
      <w:tr>
        <w:trPr>
          <w:tblHeader w:val="false"/>
        </w:trPr>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Tencent (HK)</w:t>
            </w:r>
          </w:p>
        </w:tc>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0700.HK / TCEHY</w:t>
            </w:r>
          </w:p>
        </w:tc>
        <w:tc>
          <w:tcPr>
            <w:tcW w:type="dxa" w:w="2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Hunyuan T1 (closed) + Hunyuan-Open + WeChat distribution</w:t>
            </w:r>
          </w:p>
        </w:tc>
        <w:tc>
          <w:tcPr>
            <w:tcW w:type="dxa" w:w="28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Best China-AI exposure for Western allocators; political risk priced</w:t>
            </w:r>
          </w:p>
        </w:tc>
      </w:tr>
      <w:tr>
        <w:trPr>
          <w:tblHeader w:val="false"/>
        </w:trPr>
        <w:tc>
          <w:tcPr>
            <w:tcW w:type="dxa" w:w="19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Naspers / Prosus</w:t>
            </w:r>
          </w:p>
        </w:tc>
        <w:tc>
          <w:tcPr>
            <w:tcW w:type="dxa" w:w="19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NPN.JO / PRX.AS</w:t>
            </w:r>
          </w:p>
        </w:tc>
        <w:tc>
          <w:tcPr>
            <w:tcW w:type="dxa" w:w="2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~24% pass-through stake in Tencent</w:t>
            </w:r>
          </w:p>
        </w:tc>
        <w:tc>
          <w:tcPr>
            <w:tcW w:type="dxa" w:w="28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Trades at structural NAV discount; cleanest indirect Tencent exposure</w:t>
            </w:r>
          </w:p>
        </w:tc>
      </w:tr>
      <w:tr>
        <w:trPr>
          <w:tblHeader w:val="false"/>
        </w:trPr>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Baidu</w:t>
            </w:r>
          </w:p>
        </w:tc>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NASDAQ: BIDU</w:t>
            </w:r>
          </w:p>
        </w:tc>
        <w:tc>
          <w:tcPr>
            <w:tcW w:type="dxa" w:w="2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ERNIE 5.0 + ERNIE-X + Apollo + cloud</w:t>
            </w:r>
          </w:p>
        </w:tc>
        <w:tc>
          <w:tcPr>
            <w:tcW w:type="dxa" w:w="28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Cheapest China-AI on P/E; structural search risk</w:t>
            </w:r>
          </w:p>
        </w:tc>
      </w:tr>
      <w:tr>
        <w:trPr>
          <w:tblHeader w:val="false"/>
        </w:trPr>
        <w:tc>
          <w:tcPr>
            <w:tcW w:type="dxa" w:w="19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Alibaba</w:t>
            </w:r>
          </w:p>
        </w:tc>
        <w:tc>
          <w:tcPr>
            <w:tcW w:type="dxa" w:w="19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NYSE: BABA / HKG: 9988</w:t>
            </w:r>
          </w:p>
        </w:tc>
        <w:tc>
          <w:tcPr>
            <w:tcW w:type="dxa" w:w="2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Qwen 3.5 + Alibaba Cloud + MiniMax stake</w:t>
            </w:r>
          </w:p>
        </w:tc>
        <w:tc>
          <w:tcPr>
            <w:tcW w:type="dxa" w:w="28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Diversified Chinese AI exposure including indirect MiniMax</w:t>
            </w:r>
          </w:p>
        </w:tc>
      </w:tr>
      <w:tr>
        <w:trPr>
          <w:tblHeader w:val="false"/>
        </w:trPr>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ARK Venture Fund</w:t>
            </w:r>
          </w:p>
        </w:tc>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ARKVX (interval fund)</w:t>
            </w:r>
          </w:p>
        </w:tc>
        <w:tc>
          <w:tcPr>
            <w:tcW w:type="dxa" w:w="2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SpaceX (~17%), OpenAI (~11%), Anthropic (~4%)</w:t>
            </w:r>
          </w:p>
        </w:tc>
        <w:tc>
          <w:tcPr>
            <w:tcW w:type="dxa" w:w="28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2.9% expense ratio; quarterly liquidity; SoFi or Titan access</w:t>
            </w:r>
          </w:p>
        </w:tc>
      </w:tr>
      <w:tr>
        <w:trPr>
          <w:tblHeader w:val="false"/>
        </w:trPr>
        <w:tc>
          <w:tcPr>
            <w:tcW w:type="dxa" w:w="19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Destiny Tech100</w:t>
            </w:r>
          </w:p>
        </w:tc>
        <w:tc>
          <w:tcPr>
            <w:tcW w:type="dxa" w:w="19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NYSE: DXYZ</w:t>
            </w:r>
          </w:p>
        </w:tc>
        <w:tc>
          <w:tcPr>
            <w:tcW w:type="dxa" w:w="2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OpenAI, SpaceX, Anthropic, Epic Games</w:t>
            </w:r>
          </w:p>
        </w:tc>
        <w:tc>
          <w:tcPr>
            <w:tcW w:type="dxa" w:w="28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Publicly traded CEF; trades at persistent NAV premium, watch entry point</w:t>
            </w:r>
          </w:p>
        </w:tc>
      </w:tr>
      <w:tr>
        <w:trPr>
          <w:tblHeader w:val="false"/>
        </w:trPr>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AngelList USVC</w:t>
            </w:r>
          </w:p>
        </w:tc>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USVC (launched 4/22/26)</w:t>
            </w:r>
          </w:p>
        </w:tc>
        <w:tc>
          <w:tcPr>
            <w:tcW w:type="dxa" w:w="2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xAI (largest), OpenAI, Anthropic, 4 others</w:t>
            </w:r>
          </w:p>
        </w:tc>
        <w:tc>
          <w:tcPr>
            <w:tcW w:type="dxa" w:w="28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$500 minimum; non-accredited eligible; 1% mgmt fee, no carry</w:t>
            </w:r>
          </w:p>
        </w:tc>
      </w:tr>
      <w:tr>
        <w:trPr>
          <w:tblHeader w:val="false"/>
        </w:trPr>
        <w:tc>
          <w:tcPr>
            <w:tcW w:type="dxa" w:w="19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Robinhood Ventures Fund I</w:t>
            </w:r>
          </w:p>
        </w:tc>
        <w:tc>
          <w:tcPr>
            <w:tcW w:type="dxa" w:w="19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Robinhood platform</w:t>
            </w:r>
          </w:p>
        </w:tc>
        <w:tc>
          <w:tcPr>
            <w:tcW w:type="dxa" w:w="2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$75M OpenAI stock purchased April 2026</w:t>
            </w:r>
          </w:p>
        </w:tc>
        <w:tc>
          <w:tcPr>
            <w:tcW w:type="dxa" w:w="28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Publicly tradable ticker for retail pre-IPO access</w:t>
            </w:r>
          </w:p>
        </w:tc>
      </w:tr>
      <w:tr>
        <w:trPr>
          <w:tblHeader w:val="false"/>
        </w:trPr>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Hiive / Forge</w:t>
            </w:r>
          </w:p>
        </w:tc>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Secondary marketplaces</w:t>
            </w:r>
          </w:p>
        </w:tc>
        <w:tc>
          <w:tcPr>
            <w:tcW w:type="dxa" w:w="2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Direct Anthropic, OpenAI, xAI, Cerebras shares</w:t>
            </w:r>
          </w:p>
        </w:tc>
        <w:tc>
          <w:tcPr>
            <w:tcW w:type="dxa" w:w="28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Accredited-investor only; 3,000+ private names; liquidity varies</w:t>
            </w:r>
          </w:p>
        </w:tc>
      </w:tr>
      <w:tr>
        <w:trPr>
          <w:tblHeader w:val="false"/>
        </w:trPr>
        <w:tc>
          <w:tcPr>
            <w:tcW w:type="dxa" w:w="19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Roundhill GenAI ETF</w:t>
            </w:r>
          </w:p>
        </w:tc>
        <w:tc>
          <w:tcPr>
            <w:tcW w:type="dxa" w:w="19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NYSE: CHAT</w:t>
            </w:r>
          </w:p>
        </w:tc>
        <w:tc>
          <w:tcPr>
            <w:tcW w:type="dxa" w:w="2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Basket of public AI names</w:t>
            </w:r>
          </w:p>
        </w:tc>
        <w:tc>
          <w:tcPr>
            <w:tcW w:type="dxa" w:w="28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Broad thematic exposure; no private-company content</w:t>
            </w:r>
          </w:p>
        </w:tc>
      </w:tr>
      <w:tr>
        <w:trPr>
          <w:tblHeader w:val="false"/>
        </w:trPr>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Coatue Mgmt (pass-through)</w:t>
            </w:r>
          </w:p>
        </w:tc>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N/A — institutional LP</w:t>
            </w:r>
          </w:p>
        </w:tc>
        <w:tc>
          <w:tcPr>
            <w:tcW w:type="dxa" w:w="2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Anthropic lead investor Feb 2026 round</w:t>
            </w:r>
          </w:p>
        </w:tc>
        <w:tc>
          <w:tcPr>
            <w:tcW w:type="dxa" w:w="28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Institutional access only</w:t>
            </w:r>
          </w:p>
        </w:tc>
      </w:tr>
    </w:tbl>
    <w:p>
      <w:pPr>
        <w:spacing w:after="120" w:before="0"/>
      </w:pPr>
      <w:r>
        <w:t xml:space="preserve"/>
      </w:r>
    </w:p>
    <w:p>
      <w:pPr>
        <w:spacing w:after="120" w:before="0" w:line="280"/>
        <w:jc w:val="both"/>
      </w:pPr>
      <w:r>
        <w:rPr>
          <w:rFonts w:ascii="Arial" w:cs="Arial" w:eastAsia="Arial" w:hAnsi="Arial"/>
          <w:b w:val="false"/>
          <w:bCs w:val="false"/>
          <w:i w:val="false"/>
          <w:iCs w:val="false"/>
          <w:color w:val="1D2939"/>
          <w:sz w:val="20"/>
          <w:szCs w:val="20"/>
        </w:rPr>
        <w:t xml:space="preserve">Recommended framework for the desk: for institutional and HNW accounts seeking OpenAI exposure, MSFT remains the most capital-efficient and liquid vehicle. For Anthropic, GOOGL is the cleanest single-name proxy (given the equity stake and Vertex AI distribution), with AMZN as a secondary. For Chinese AI exposure, Tencent (via 0700.HK or via Naspers/Prosus pass-through at NAV discount) is the cleanest single-name proxy. For diversified basket exposure across OpenAI + Anthropic + xAI + SpaceX, ARKVX or DXYZ are viable — but investors must understand the liquidity and NAV-premium mechanics. Direct secondaries via Hiive/Forge should be reserved for accounts with multi-year lockup tolerance.</w:t>
      </w:r>
    </w:p>
    <w:p>
      <w:r>
        <w:br w:type="page"/>
      </w:r>
    </w:p>
    <w:p>
      <w:pPr>
        <w:pStyle w:val="Heading1"/>
        <w:spacing w:after="200" w:before="360"/>
      </w:pPr>
      <w:r>
        <w:rPr>
          <w:rFonts w:ascii="Arial" w:cs="Arial" w:eastAsia="Arial" w:hAnsi="Arial"/>
          <w:b/>
          <w:bCs/>
          <w:color w:val="0B2545"/>
          <w:sz w:val="32"/>
          <w:szCs w:val="32"/>
        </w:rPr>
        <w:t xml:space="preserve">8. AI Supply Chain — Complete Stack</w:t>
      </w:r>
    </w:p>
    <w:p>
      <w:pPr>
        <w:spacing w:after="120" w:before="0" w:line="280"/>
        <w:jc w:val="both"/>
      </w:pPr>
      <w:r>
        <w:rPr>
          <w:rFonts w:ascii="Arial" w:cs="Arial" w:eastAsia="Arial" w:hAnsi="Arial"/>
          <w:b w:val="false"/>
          <w:bCs w:val="false"/>
          <w:i w:val="false"/>
          <w:iCs w:val="false"/>
          <w:color w:val="1D2939"/>
          <w:sz w:val="20"/>
          <w:szCs w:val="20"/>
        </w:rPr>
        <w:t xml:space="preserve">The defining feature of the 2026 AI supply chain is that every major physical layer is currently supply-constrained. This is the strongest possible environment for the "picks and shovels" investment thesis and partly explains why NVDA, TSMC, and ASML trade at premium multiples despite cyclically-sensitive end markets. The important nuance for the MD: open-weight and closed-weight labs consume the same physical supply chain. The competitive question between camps is almost entirely upstream of the silicon — both Meta's Llama training runs and OpenAI's GPT-5 training runs ultimately land on TSMC-fabricated, SK Hynix-memoried, CoWoS-packaged NVIDIA GPUs (or hyperscaler equivalents).</w:t>
      </w:r>
    </w:p>
    <w:p>
      <w:pPr>
        <w:spacing w:after="120" w:before="0" w:line="280"/>
        <w:jc w:val="both"/>
      </w:pPr>
      <w:r>
        <w:rPr>
          <w:rFonts w:ascii="Arial" w:cs="Arial" w:eastAsia="Arial" w:hAnsi="Arial"/>
          <w:b w:val="false"/>
          <w:bCs w:val="false"/>
          <w:i w:val="false"/>
          <w:iCs w:val="false"/>
          <w:color w:val="1D2939"/>
          <w:sz w:val="20"/>
          <w:szCs w:val="20"/>
        </w:rPr>
        <w:t xml:space="preserve">This section is materially expanded from v1 in two areas: (a) a new memory deep-dive treating HBM market structure, HBM4 timing, and the recently-spun Sandisk standalone NAND franchise; and (b) a new neocloud subsection covering CoreWeave, Nebius, Applied Digital, and Oracle's distinct positions in the GPU-rental market.</w:t>
      </w:r>
    </w:p>
    <w:p>
      <w:pPr>
        <w:pStyle w:val="Heading2"/>
        <w:spacing w:after="160" w:before="280"/>
      </w:pPr>
      <w:r>
        <w:rPr>
          <w:rFonts w:ascii="Arial" w:cs="Arial" w:eastAsia="Arial" w:hAnsi="Arial"/>
          <w:b/>
          <w:bCs/>
          <w:color w:val="1B4F8C"/>
          <w:sz w:val="26"/>
          <w:szCs w:val="26"/>
        </w:rPr>
        <w:t xml:space="preserve">8.1 The Full Value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rPr>
          <w:tblHeader/>
        </w:trPr>
        <w:tc>
          <w:tcPr>
            <w:tcW w:type="dxa" w:w="15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Layer</w:t>
            </w:r>
          </w:p>
        </w:tc>
        <w:tc>
          <w:tcPr>
            <w:tcW w:type="dxa" w:w="20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Key Players</w:t>
            </w:r>
          </w:p>
        </w:tc>
        <w:tc>
          <w:tcPr>
            <w:tcW w:type="dxa" w:w="30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Role / Position</w:t>
            </w:r>
          </w:p>
        </w:tc>
        <w:tc>
          <w:tcPr>
            <w:tcW w:type="dxa" w:w="286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Supply Situation</w:t>
            </w:r>
          </w:p>
        </w:tc>
      </w:tr>
      <w:tr>
        <w:trPr>
          <w:tblHeader w:val="false"/>
        </w:trPr>
        <w:tc>
          <w:tcPr>
            <w:tcW w:type="dxa" w:w="15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Lithography</w:t>
            </w:r>
          </w:p>
        </w:tc>
        <w:tc>
          <w:tcPr>
            <w:tcW w:type="dxa" w:w="20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ASML</w:t>
            </w:r>
          </w:p>
        </w:tc>
        <w:tc>
          <w:tcPr>
            <w:tcW w:type="dxa" w:w="30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Sole supplier of EUV and High-NA EUV lithography; required for 3nm/2nm/1.4nm</w:t>
            </w:r>
          </w:p>
        </w:tc>
        <w:tc>
          <w:tcPr>
            <w:tcW w:type="dxa" w:w="28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~€36B backlog at YE25; ~6–8 High-NA deliveries modeled for 2026 (~$380M each)</w:t>
            </w:r>
          </w:p>
        </w:tc>
      </w:tr>
      <w:tr>
        <w:trPr>
          <w:tblHeader w:val="false"/>
        </w:trPr>
        <w:tc>
          <w:tcPr>
            <w:tcW w:type="dxa" w:w="15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Wafer Fab</w:t>
            </w:r>
          </w:p>
        </w:tc>
        <w:tc>
          <w:tcPr>
            <w:tcW w:type="dxa" w:w="20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TSMC; Samsung; Intel Foundry</w:t>
            </w:r>
          </w:p>
        </w:tc>
        <w:tc>
          <w:tcPr>
            <w:tcW w:type="dxa" w:w="30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TSMC dominates advanced-node AI fab; produces chips for NVDA, AMD, AAPL, AVGO, GOOGL</w:t>
            </w:r>
          </w:p>
        </w:tc>
        <w:tc>
          <w:tcPr>
            <w:tcW w:type="dxa" w:w="28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2nm (N2) booked 78–104 weeks; new orders filling into 2028; $52–56B 2026 capex</w:t>
            </w:r>
          </w:p>
        </w:tc>
      </w:tr>
      <w:tr>
        <w:trPr>
          <w:tblHeader w:val="false"/>
        </w:trPr>
        <w:tc>
          <w:tcPr>
            <w:tcW w:type="dxa" w:w="15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Advanced Packaging</w:t>
            </w:r>
          </w:p>
        </w:tc>
        <w:tc>
          <w:tcPr>
            <w:tcW w:type="dxa" w:w="20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TSMC CoWoS; ASE; Amkor; Intel EMIB/Foveros</w:t>
            </w:r>
          </w:p>
        </w:tc>
        <w:tc>
          <w:tcPr>
            <w:tcW w:type="dxa" w:w="30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CoWoS integrates logic dies with HBM on silicon interposers — the actual AI chip bottleneck</w:t>
            </w:r>
          </w:p>
        </w:tc>
        <w:tc>
          <w:tcPr>
            <w:tcW w:type="dxa" w:w="28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CoWoS sold out through mid-2026 despite 2× expansion; ASE/Amkor sub-step outsourcing</w:t>
            </w:r>
          </w:p>
        </w:tc>
      </w:tr>
      <w:tr>
        <w:trPr>
          <w:tblHeader w:val="false"/>
        </w:trPr>
        <w:tc>
          <w:tcPr>
            <w:tcW w:type="dxa" w:w="15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HBM Memory</w:t>
            </w:r>
          </w:p>
        </w:tc>
        <w:tc>
          <w:tcPr>
            <w:tcW w:type="dxa" w:w="20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SK Hynix; Samsung; Micron</w:t>
            </w:r>
          </w:p>
        </w:tc>
        <w:tc>
          <w:tcPr>
            <w:tcW w:type="dxa" w:w="30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High-bandwidth memory stacked on GPUs; core AI bandwidth constraint</w:t>
            </w:r>
          </w:p>
        </w:tc>
        <w:tc>
          <w:tcPr>
            <w:tcW w:type="dxa" w:w="28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SK Hynix entire 2026 capacity allocated; HBM ~30% of DRAM rev vs. 8% of output; HBM4 ramp 2026</w:t>
            </w:r>
          </w:p>
        </w:tc>
      </w:tr>
      <w:tr>
        <w:trPr>
          <w:tblHeader w:val="false"/>
        </w:trPr>
        <w:tc>
          <w:tcPr>
            <w:tcW w:type="dxa" w:w="15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NAND / SSD</w:t>
            </w:r>
          </w:p>
        </w:tc>
        <w:tc>
          <w:tcPr>
            <w:tcW w:type="dxa" w:w="20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Sandisk; Samsung; SK Hynix (Solidigm); Micron; Kioxia</w:t>
            </w:r>
          </w:p>
        </w:tc>
        <w:tc>
          <w:tcPr>
            <w:tcW w:type="dxa" w:w="30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Storage tier for KV-cache offload, dataset staging, AI server SSDs</w:t>
            </w:r>
          </w:p>
        </w:tc>
        <w:tc>
          <w:tcPr>
            <w:tcW w:type="dxa" w:w="28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Sandisk standalone post-WD spin (Feb 2025); enterprise SSD pricing firming in 2026</w:t>
            </w:r>
          </w:p>
        </w:tc>
      </w:tr>
      <w:tr>
        <w:trPr>
          <w:tblHeader w:val="false"/>
        </w:trPr>
        <w:tc>
          <w:tcPr>
            <w:tcW w:type="dxa" w:w="15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GPU / AI Accel.</w:t>
            </w:r>
          </w:p>
        </w:tc>
        <w:tc>
          <w:tcPr>
            <w:tcW w:type="dxa" w:w="20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NVIDIA; AMD; Intel Gaudi</w:t>
            </w:r>
          </w:p>
        </w:tc>
        <w:tc>
          <w:tcPr>
            <w:tcW w:type="dxa" w:w="30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GPUs remain default training silicon; NVDA Blackwell / Vera Rubin dominate</w:t>
            </w:r>
          </w:p>
        </w:tc>
        <w:tc>
          <w:tcPr>
            <w:tcW w:type="dxa" w:w="28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NVDA majority of TSMC CoWoS allocation; $250B purchase commitments across supply chain</w:t>
            </w:r>
          </w:p>
        </w:tc>
      </w:tr>
      <w:tr>
        <w:trPr>
          <w:tblHeader w:val="false"/>
        </w:trPr>
        <w:tc>
          <w:tcPr>
            <w:tcW w:type="dxa" w:w="15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Custom ASIC</w:t>
            </w:r>
          </w:p>
        </w:tc>
        <w:tc>
          <w:tcPr>
            <w:tcW w:type="dxa" w:w="20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Broadcom; Marvell; Alchip</w:t>
            </w:r>
          </w:p>
        </w:tc>
        <w:tc>
          <w:tcPr>
            <w:tcW w:type="dxa" w:w="30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Design and tape-out partners for hyperscaler custom silicon (Google TPU, AWS Trainium, Meta MTIA)</w:t>
            </w:r>
          </w:p>
        </w:tc>
        <w:tc>
          <w:tcPr>
            <w:tcW w:type="dxa" w:w="28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AVGO AI semi revenue +106% YoY; targets &gt;$100B custom AI chip revenue by 2027</w:t>
            </w:r>
          </w:p>
        </w:tc>
      </w:tr>
      <w:tr>
        <w:trPr>
          <w:tblHeader w:val="false"/>
        </w:trPr>
        <w:tc>
          <w:tcPr>
            <w:tcW w:type="dxa" w:w="15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Hyperscaler Silicon</w:t>
            </w:r>
          </w:p>
        </w:tc>
        <w:tc>
          <w:tcPr>
            <w:tcW w:type="dxa" w:w="20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Google TPU; AWS Trainium/Inferentia; Meta MTIA; MSFT Maia; Huawei Ascend</w:t>
            </w:r>
          </w:p>
        </w:tc>
        <w:tc>
          <w:tcPr>
            <w:tcW w:type="dxa" w:w="30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In-house accelerators reducing NVDA dependence; Anthropic committing to multi-GW TPU 2027+</w:t>
            </w:r>
          </w:p>
        </w:tc>
        <w:tc>
          <w:tcPr>
            <w:tcW w:type="dxa" w:w="28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Google unveiled 2 new TPU variants Apr 2026; Anthropic multi-GW TPU commitment</w:t>
            </w:r>
          </w:p>
        </w:tc>
      </w:tr>
      <w:tr>
        <w:trPr>
          <w:tblHeader w:val="false"/>
        </w:trPr>
        <w:tc>
          <w:tcPr>
            <w:tcW w:type="dxa" w:w="15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Networking</w:t>
            </w:r>
          </w:p>
        </w:tc>
        <w:tc>
          <w:tcPr>
            <w:tcW w:type="dxa" w:w="20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NVIDIA (Mellanox); Arista; Broadcom; Cisco</w:t>
            </w:r>
          </w:p>
        </w:tc>
        <w:tc>
          <w:tcPr>
            <w:tcW w:type="dxa" w:w="30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NVLink, InfiniBand, and Ethernet AI-fabric switches for GPU clusters</w:t>
            </w:r>
          </w:p>
        </w:tc>
        <w:tc>
          <w:tcPr>
            <w:tcW w:type="dxa" w:w="28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Growing capex share; AVGO Jericho/Tomahawk gaining share vs. NVDA Spectrum</w:t>
            </w:r>
          </w:p>
        </w:tc>
      </w:tr>
      <w:tr>
        <w:trPr>
          <w:tblHeader w:val="false"/>
        </w:trPr>
        <w:tc>
          <w:tcPr>
            <w:tcW w:type="dxa" w:w="15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Server OEMs</w:t>
            </w:r>
          </w:p>
        </w:tc>
        <w:tc>
          <w:tcPr>
            <w:tcW w:type="dxa" w:w="20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Dell; Super Micro; HPE; Foxconn/Hon Hai; Lenovo</w:t>
            </w:r>
          </w:p>
        </w:tc>
        <w:tc>
          <w:tcPr>
            <w:tcW w:type="dxa" w:w="30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Integration of GPUs, liquid cooling, and networking into rack-scale systems</w:t>
            </w:r>
          </w:p>
        </w:tc>
        <w:tc>
          <w:tcPr>
            <w:tcW w:type="dxa" w:w="28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Hon Hai (2317.TW) dominant contract manufacturer; SMCI rebuilding after restatement</w:t>
            </w:r>
          </w:p>
        </w:tc>
      </w:tr>
      <w:tr>
        <w:trPr>
          <w:tblHeader w:val="false"/>
        </w:trPr>
        <w:tc>
          <w:tcPr>
            <w:tcW w:type="dxa" w:w="15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Hyperscale Cloud</w:t>
            </w:r>
          </w:p>
        </w:tc>
        <w:tc>
          <w:tcPr>
            <w:tcW w:type="dxa" w:w="20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MSFT Azure; AWS; GCP; Oracle; CoreWeave; Nebius</w:t>
            </w:r>
          </w:p>
        </w:tc>
        <w:tc>
          <w:tcPr>
            <w:tcW w:type="dxa" w:w="30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Training + inference capacity rental; increasingly dedicated AI-only campuses</w:t>
            </w:r>
          </w:p>
        </w:tc>
        <w:tc>
          <w:tcPr>
            <w:tcW w:type="dxa" w:w="28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Alphabet 2026 capex up to $185B; OpenAI $1.4T total infra commitments signed 2025</w:t>
            </w:r>
          </w:p>
        </w:tc>
      </w:tr>
      <w:tr>
        <w:trPr>
          <w:tblHeader w:val="false"/>
        </w:trPr>
        <w:tc>
          <w:tcPr>
            <w:tcW w:type="dxa" w:w="15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Power / Grid</w:t>
            </w:r>
          </w:p>
        </w:tc>
        <w:tc>
          <w:tcPr>
            <w:tcW w:type="dxa" w:w="20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Constellation; Vistra; NextEra; SMR (OKLO, NNE); Talen Energy</w:t>
            </w:r>
          </w:p>
        </w:tc>
        <w:tc>
          <w:tcPr>
            <w:tcW w:type="dxa" w:w="30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Generation contracts for AI data centers; SMRs and gas peakers</w:t>
            </w:r>
          </w:p>
        </w:tc>
        <w:tc>
          <w:tcPr>
            <w:tcW w:type="dxa" w:w="28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U.S. DC demand: 176 TWh (2023) → 325–580 TWh (2028); PJM projects 6GW shortfall 2027</w:t>
            </w:r>
          </w:p>
        </w:tc>
      </w:tr>
      <w:tr>
        <w:trPr>
          <w:tblHeader w:val="false"/>
        </w:trPr>
        <w:tc>
          <w:tcPr>
            <w:tcW w:type="dxa" w:w="15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Equipment / Materials</w:t>
            </w:r>
          </w:p>
        </w:tc>
        <w:tc>
          <w:tcPr>
            <w:tcW w:type="dxa" w:w="20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Applied Materials; Lam Research; KLA; Entegris; Onto Innovation</w:t>
            </w:r>
          </w:p>
        </w:tc>
        <w:tc>
          <w:tcPr>
            <w:tcW w:type="dxa" w:w="30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Deposition, etching, metrology, process control supporting ASML/TSMC</w:t>
            </w:r>
          </w:p>
        </w:tc>
        <w:tc>
          <w:tcPr>
            <w:tcW w:type="dxa" w:w="28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Benefits from TSMC 2nm ramp and High-NA tool installs; stable duopoly structures</w:t>
            </w:r>
          </w:p>
        </w:tc>
      </w:tr>
    </w:tbl>
    <w:p>
      <w:pPr>
        <w:spacing w:after="120" w:before="0"/>
      </w:pPr>
      <w:r>
        <w:t xml:space="preserve"/>
      </w:r>
    </w:p>
    <w:p>
      <w:pPr>
        <w:pStyle w:val="Heading2"/>
        <w:spacing w:after="160" w:before="280"/>
      </w:pPr>
      <w:r>
        <w:rPr>
          <w:rFonts w:ascii="Arial" w:cs="Arial" w:eastAsia="Arial" w:hAnsi="Arial"/>
          <w:b/>
          <w:bCs/>
          <w:color w:val="1B4F8C"/>
          <w:sz w:val="26"/>
          <w:szCs w:val="26"/>
        </w:rPr>
        <w:t xml:space="preserve">8.2 Three Structural Bottlenecks</w:t>
      </w:r>
    </w:p>
    <w:p>
      <w:pPr>
        <w:spacing w:after="120" w:before="0" w:line="280"/>
        <w:jc w:val="both"/>
      </w:pPr>
      <w:r>
        <w:rPr>
          <w:rFonts w:ascii="Arial" w:cs="Arial" w:eastAsia="Arial" w:hAnsi="Arial"/>
          <w:b/>
          <w:bCs/>
          <w:i w:val="false"/>
          <w:iCs w:val="false"/>
          <w:color w:val="1D2939"/>
          <w:sz w:val="20"/>
          <w:szCs w:val="20"/>
        </w:rPr>
        <w:t xml:space="preserve">1. CoWoS advanced packaging. </w:t>
      </w:r>
      <w:r>
        <w:rPr>
          <w:rFonts w:ascii="Arial" w:cs="Arial" w:eastAsia="Arial" w:hAnsi="Arial"/>
          <w:b w:val="false"/>
          <w:bCs w:val="false"/>
          <w:i w:val="false"/>
          <w:iCs w:val="false"/>
          <w:color w:val="1D2939"/>
          <w:sz w:val="20"/>
          <w:szCs w:val="20"/>
        </w:rPr>
        <w:t xml:space="preserve">TSMC's CoWoS (Chip-on-Wafer-on-Substrate) is the single most binding constraint on AI chip production. Capacity reached ~75,000 wafers/month in 2025 and is expanding ~30% into 2026, but remains sold out through mid-2026. ASE and Amkor are secondary winners as TSMC outsources sub-steps. Without CoWoS, a Blackwell GPU is "just a collection of dies" — the interposer integration with HBM stacks is what makes the product a product.</w:t>
      </w:r>
    </w:p>
    <w:p>
      <w:pPr>
        <w:spacing w:after="120" w:before="0" w:line="280"/>
        <w:jc w:val="both"/>
      </w:pPr>
      <w:r>
        <w:rPr>
          <w:rFonts w:ascii="Arial" w:cs="Arial" w:eastAsia="Arial" w:hAnsi="Arial"/>
          <w:b/>
          <w:bCs/>
          <w:i w:val="false"/>
          <w:iCs w:val="false"/>
          <w:color w:val="1D2939"/>
          <w:sz w:val="20"/>
          <w:szCs w:val="20"/>
        </w:rPr>
        <w:t xml:space="preserve">2. HBM memory allocation. </w:t>
      </w:r>
      <w:r>
        <w:rPr>
          <w:rFonts w:ascii="Arial" w:cs="Arial" w:eastAsia="Arial" w:hAnsi="Arial"/>
          <w:b w:val="false"/>
          <w:bCs w:val="false"/>
          <w:i w:val="false"/>
          <w:iCs w:val="false"/>
          <w:color w:val="1D2939"/>
          <w:sz w:val="20"/>
          <w:szCs w:val="20"/>
        </w:rPr>
        <w:t xml:space="preserve">Treated in depth in Section 8.3 below. SK Hynix dominates with ~62% market share and supplies ~90% of NVDA's HBM. Entire 2026 HBM capacity is allocated. HBM revenue share of total DRAM is expected to exceed 30% in 2026 despite representing only 8% of bit output. HBM4 enters production in 2026 with 2.8 TB/s bandwidth.</w:t>
      </w:r>
    </w:p>
    <w:p>
      <w:pPr>
        <w:spacing w:after="120" w:before="0" w:line="280"/>
        <w:jc w:val="both"/>
      </w:pPr>
      <w:r>
        <w:rPr>
          <w:rFonts w:ascii="Arial" w:cs="Arial" w:eastAsia="Arial" w:hAnsi="Arial"/>
          <w:b/>
          <w:bCs/>
          <w:i w:val="false"/>
          <w:iCs w:val="false"/>
          <w:color w:val="1D2939"/>
          <w:sz w:val="20"/>
          <w:szCs w:val="20"/>
        </w:rPr>
        <w:t xml:space="preserve">3. ASML High-NA EUV. </w:t>
      </w:r>
      <w:r>
        <w:rPr>
          <w:rFonts w:ascii="Arial" w:cs="Arial" w:eastAsia="Arial" w:hAnsi="Arial"/>
          <w:b w:val="false"/>
          <w:bCs w:val="false"/>
          <w:i w:val="false"/>
          <w:iCs w:val="false"/>
          <w:color w:val="1D2939"/>
          <w:sz w:val="20"/>
          <w:szCs w:val="20"/>
        </w:rPr>
        <w:t xml:space="preserve">ASML holds a monopoly on the High-NA EUV machines required for Intel 18A and the 1.4nm logic nodes ramping beyond 2026. At ~$380M per machine (vs. ~$180–200M for standard EUV), each High-NA installation drives outsized revenue. ASML's customer concentration is the primary risk — TSMC alone is ~50% of leading-edge capex.</w:t>
      </w:r>
    </w:p>
    <w:p>
      <w:pPr>
        <w:pStyle w:val="Heading2"/>
        <w:spacing w:after="160" w:before="280"/>
      </w:pPr>
      <w:r>
        <w:rPr>
          <w:rFonts w:ascii="Arial" w:cs="Arial" w:eastAsia="Arial" w:hAnsi="Arial"/>
          <w:b/>
          <w:bCs/>
          <w:color w:val="1B4F8C"/>
          <w:sz w:val="26"/>
          <w:szCs w:val="26"/>
        </w:rPr>
        <w:t xml:space="preserve">8.3 Memory Deep Dive — HBM, NAND, and the New Sandisk</w:t>
      </w:r>
    </w:p>
    <w:p>
      <w:pPr>
        <w:spacing w:after="120" w:before="0" w:line="280"/>
        <w:jc w:val="both"/>
      </w:pPr>
      <w:r>
        <w:rPr>
          <w:rFonts w:ascii="Arial" w:cs="Arial" w:eastAsia="Arial" w:hAnsi="Arial"/>
          <w:b w:val="false"/>
          <w:bCs w:val="false"/>
          <w:i w:val="false"/>
          <w:iCs w:val="false"/>
          <w:color w:val="1D2939"/>
          <w:sz w:val="20"/>
          <w:szCs w:val="20"/>
        </w:rPr>
        <w:t xml:space="preserve">The memory complex is the second binding constraint of the AI buildout after CoWoS, and the v1 report under-treated it. This subsection corrects that by addressing market structure, HBM4 timing, the post-spin Sandisk franchise, and the NAND tier that has become an under-appreciated AI beneficiary.</w:t>
      </w:r>
    </w:p>
    <w:p>
      <w:pPr>
        <w:pStyle w:val="Heading3"/>
        <w:spacing w:after="120" w:before="200"/>
      </w:pPr>
      <w:r>
        <w:rPr>
          <w:rFonts w:ascii="Arial" w:cs="Arial" w:eastAsia="Arial" w:hAnsi="Arial"/>
          <w:b/>
          <w:bCs/>
          <w:color w:val="0B2545"/>
          <w:sz w:val="22"/>
          <w:szCs w:val="22"/>
        </w:rPr>
        <w:t xml:space="preserve">8.3.1 HBM Market Structure</w:t>
      </w:r>
    </w:p>
    <w:p>
      <w:pPr>
        <w:spacing w:after="120" w:before="0" w:line="280"/>
        <w:jc w:val="both"/>
      </w:pPr>
      <w:r>
        <w:rPr>
          <w:rFonts w:ascii="Arial" w:cs="Arial" w:eastAsia="Arial" w:hAnsi="Arial"/>
          <w:b w:val="false"/>
          <w:bCs w:val="false"/>
          <w:i w:val="false"/>
          <w:iCs w:val="false"/>
          <w:color w:val="1D2939"/>
          <w:sz w:val="20"/>
          <w:szCs w:val="20"/>
        </w:rPr>
        <w:t xml:space="preserve">HBM is a stacked DRAM product designed for very high bandwidth (multiple TB/s per stack) at the expense of latency and capacity-per-dollar. It is the highest-margin and fastest-growing DRAM segment in the industry's history. The market is a tight oligopoly with three players, and the share split has remained surprisingly stable through the buildout despite Samsung's repeated catch-up attempts: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00"/>
        <w:gridCol w:w="3260"/>
      </w:tblGrid>
      <w:tr>
        <w:trPr>
          <w:tblHeader/>
        </w:trPr>
        <w:tc>
          <w:tcPr>
            <w:tcW w:type="dxa" w:w="22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Vendor</w:t>
            </w:r>
          </w:p>
        </w:tc>
        <w:tc>
          <w:tcPr>
            <w:tcW w:type="dxa" w:w="18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HBM Share (est.)</w:t>
            </w:r>
          </w:p>
        </w:tc>
        <w:tc>
          <w:tcPr>
            <w:tcW w:type="dxa" w:w="21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Lead Customer</w:t>
            </w:r>
          </w:p>
        </w:tc>
        <w:tc>
          <w:tcPr>
            <w:tcW w:type="dxa" w:w="326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Strategic Position</w:t>
            </w:r>
          </w:p>
        </w:tc>
      </w:tr>
      <w:tr>
        <w:trPr>
          <w:tblHeader w:val="false"/>
        </w:trPr>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SK Hynix (000660.KS)</w:t>
            </w:r>
          </w:p>
        </w:tc>
        <w:tc>
          <w:tcPr>
            <w:tcW w:type="dxa" w:w="18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~62%</w:t>
            </w:r>
          </w:p>
        </w:tc>
        <w:tc>
          <w:tcPr>
            <w:tcW w:type="dxa" w:w="2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NVIDIA (~90% of NVDA HBM)</w:t>
            </w:r>
          </w:p>
        </w:tc>
        <w:tc>
          <w:tcPr>
            <w:tcW w:type="dxa" w:w="32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First to HBM4; primary supplier for Blackwell Ultra and Vera Rubin; allocated through 2026</w:t>
            </w:r>
          </w:p>
        </w:tc>
      </w:tr>
      <w:tr>
        <w:trPr>
          <w:tblHeader w:val="false"/>
        </w:trPr>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Samsung (005930.KS)</w:t>
            </w:r>
          </w:p>
        </w:tc>
        <w:tc>
          <w:tcPr>
            <w:tcW w:type="dxa" w:w="18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~17–20%</w:t>
            </w:r>
          </w:p>
        </w:tc>
        <w:tc>
          <w:tcPr>
            <w:tcW w:type="dxa" w:w="2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Mixed (NVDA HBM3E qualified late; AMD; custom hyperscaler)</w:t>
            </w:r>
          </w:p>
        </w:tc>
        <w:tc>
          <w:tcPr>
            <w:tcW w:type="dxa" w:w="32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HBM4 catch-up underway; closing yield gap; significant 2026 share-gain target</w:t>
            </w:r>
          </w:p>
        </w:tc>
      </w:tr>
      <w:tr>
        <w:trPr>
          <w:tblHeader w:val="false"/>
        </w:trPr>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Micron (NASDAQ: MU)</w:t>
            </w:r>
          </w:p>
        </w:tc>
        <w:tc>
          <w:tcPr>
            <w:tcW w:type="dxa" w:w="18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~21%</w:t>
            </w:r>
          </w:p>
        </w:tc>
        <w:tc>
          <w:tcPr>
            <w:tcW w:type="dxa" w:w="2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NVDA (HBM3E qualified), AMD MI300X</w:t>
            </w:r>
          </w:p>
        </w:tc>
        <w:tc>
          <w:tcPr>
            <w:tcW w:type="dxa" w:w="32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U.S.-only pure-play HBM exposure; HBM4 ramp 2026; strong free-cash leverage</w:t>
            </w:r>
          </w:p>
        </w:tc>
      </w:tr>
    </w:tbl>
    <w:p>
      <w:pPr>
        <w:spacing w:after="120" w:before="0"/>
      </w:pPr>
      <w:r>
        <w:t xml:space="preserve"/>
      </w:r>
    </w:p>
    <w:p>
      <w:pPr>
        <w:spacing w:after="120" w:before="0" w:line="280"/>
        <w:jc w:val="both"/>
      </w:pPr>
      <w:r>
        <w:rPr>
          <w:rFonts w:ascii="Arial" w:cs="Arial" w:eastAsia="Arial" w:hAnsi="Arial"/>
          <w:b w:val="false"/>
          <w:bCs w:val="false"/>
          <w:i w:val="false"/>
          <w:iCs w:val="false"/>
          <w:color w:val="1D2939"/>
          <w:sz w:val="20"/>
          <w:szCs w:val="20"/>
        </w:rPr>
        <w:t xml:space="preserve">Three observations on HBM market structure that matter for the desk:</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SK Hynix is the cleanest pure-play. </w:t>
      </w:r>
      <w:r>
        <w:rPr>
          <w:rFonts w:ascii="Arial" w:cs="Arial" w:eastAsia="Arial" w:hAnsi="Arial"/>
          <w:b w:val="false"/>
          <w:bCs w:val="false"/>
          <w:i w:val="false"/>
          <w:iCs w:val="false"/>
          <w:color w:val="1D2939"/>
          <w:sz w:val="20"/>
          <w:szCs w:val="20"/>
        </w:rPr>
        <w:t xml:space="preserve">Of the three vendors, SK Hynix has the highest exposure to HBM as a percentage of total revenue mix. The thesis is straightforward: HBM is the highest-margin product, SK Hynix has the highest market share, and capacity is fully allocated through 2026. We continue to recommend Overweight on 000660.KS.</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Micron is the U.S.-listed beneficiary. </w:t>
      </w:r>
      <w:r>
        <w:rPr>
          <w:rFonts w:ascii="Arial" w:cs="Arial" w:eastAsia="Arial" w:hAnsi="Arial"/>
          <w:b w:val="false"/>
          <w:bCs w:val="false"/>
          <w:i w:val="false"/>
          <w:iCs w:val="false"/>
          <w:color w:val="1D2939"/>
          <w:sz w:val="20"/>
          <w:szCs w:val="20"/>
        </w:rPr>
        <w:t xml:space="preserve">For accounts unable to hold KOSPI-listed names, Micron offers the most direct U.S.-listed HBM exposure. MU's HBM4 ramp through 2026 is on schedule; the company has guided to materially improving HBM gross margins through 2026 as the mix shifts toward HBM3E and HBM4. Overweight.</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Samsung remains the consensus catch-up trade. </w:t>
      </w:r>
      <w:r>
        <w:rPr>
          <w:rFonts w:ascii="Arial" w:cs="Arial" w:eastAsia="Arial" w:hAnsi="Arial"/>
          <w:b w:val="false"/>
          <w:bCs w:val="false"/>
          <w:i w:val="false"/>
          <w:iCs w:val="false"/>
          <w:color w:val="1D2939"/>
          <w:sz w:val="20"/>
          <w:szCs w:val="20"/>
        </w:rPr>
        <w:t xml:space="preserve">Samsung's HBM4 qualification at NVIDIA is the most-watched event in the memory complex. A successful qualification would shift share back toward Samsung in 2026–27 and would be a positive catalyst for 005930.KS. Failure or delay would further entrench SK Hynix's lead. We treat Samsung as a market-weight pair-trade against SK Hynix at current valuations.</w:t>
      </w:r>
    </w:p>
    <w:p>
      <w:pPr>
        <w:pStyle w:val="Heading3"/>
        <w:spacing w:after="120" w:before="200"/>
      </w:pPr>
      <w:r>
        <w:rPr>
          <w:rFonts w:ascii="Arial" w:cs="Arial" w:eastAsia="Arial" w:hAnsi="Arial"/>
          <w:b/>
          <w:bCs/>
          <w:color w:val="0B2545"/>
          <w:sz w:val="22"/>
          <w:szCs w:val="22"/>
        </w:rPr>
        <w:t xml:space="preserve">8.3.2 HBM4 Timing and Capacity Roadmap</w:t>
      </w:r>
    </w:p>
    <w:p>
      <w:pPr>
        <w:spacing w:after="120" w:before="0" w:line="280"/>
        <w:jc w:val="both"/>
      </w:pPr>
      <w:r>
        <w:rPr>
          <w:rFonts w:ascii="Arial" w:cs="Arial" w:eastAsia="Arial" w:hAnsi="Arial"/>
          <w:b w:val="false"/>
          <w:bCs w:val="false"/>
          <w:i w:val="false"/>
          <w:iCs w:val="false"/>
          <w:color w:val="1D2939"/>
          <w:sz w:val="20"/>
          <w:szCs w:val="20"/>
        </w:rPr>
        <w:t xml:space="preserve">HBM4 is the next-generation standard that begins ramping in 2026. The performance step is meaningful: HBM3E offered ~1.2 TB/s per stack at 24GB/stack and 12-Hi configurations; HBM4 targets ~2.8 TB/s per stack at 36–48GB/stack and 16-Hi configurations. For the AI workload, the bandwidth uplift is what enables longer context windows and higher reasoning-token throughput at iso-power.</w:t>
      </w:r>
    </w:p>
    <w:p>
      <w:pPr>
        <w:spacing w:after="120" w:before="0" w:line="280"/>
        <w:jc w:val="both"/>
      </w:pPr>
      <w:r>
        <w:rPr>
          <w:rFonts w:ascii="Arial" w:cs="Arial" w:eastAsia="Arial" w:hAnsi="Arial"/>
          <w:b w:val="false"/>
          <w:bCs w:val="false"/>
          <w:i w:val="false"/>
          <w:iCs w:val="false"/>
          <w:color w:val="1D2939"/>
          <w:sz w:val="20"/>
          <w:szCs w:val="20"/>
        </w:rPr>
        <w:t xml:space="preserve">SK Hynix delivered final HBM4 samples to NVIDIA in late 2025 and has been confirmed as the primary supplier for both Blackwell Ultra and Vera Rubin. SK Hynix-TSMC announced a 12nm base-die partnership for the HBM4 base die — this is a notable architectural shift because HBM4 base dies have moved from being commodity DRAM products to logic-process products. The implication is that HBM4 has become a packaging-and-logic problem as much as a memory problem, which favors integrated solutions and creates a moat against second-tier challengers.</w:t>
      </w:r>
    </w:p>
    <w:p>
      <w:pPr>
        <w:spacing w:after="120" w:before="0" w:line="280"/>
        <w:jc w:val="both"/>
      </w:pPr>
      <w:r>
        <w:rPr>
          <w:rFonts w:ascii="Arial" w:cs="Arial" w:eastAsia="Arial" w:hAnsi="Arial"/>
          <w:b w:val="false"/>
          <w:bCs w:val="false"/>
          <w:i w:val="false"/>
          <w:iCs w:val="false"/>
          <w:color w:val="1D2939"/>
          <w:sz w:val="20"/>
          <w:szCs w:val="20"/>
        </w:rPr>
        <w:t xml:space="preserve">Custom HBM is the wildcard. Hyperscalers (Google, Meta, AWS) are increasingly asking for HBM stacks customized for their specific workloads — different stack heights, different signaling, different base-die logic. Both SK Hynix and Samsung have launched custom-HBM business lines targeting this customer set. If custom HBM scales, it would shift some of the value from the memory vendor to the system vendor (because each custom design is workload-specific) but it would also lock in customer relationships and create a moat against pure-commodity HBM vendors.</w:t>
      </w:r>
    </w:p>
    <w:p>
      <w:pPr>
        <w:pStyle w:val="Heading3"/>
        <w:spacing w:after="120" w:before="200"/>
      </w:pPr>
      <w:r>
        <w:rPr>
          <w:rFonts w:ascii="Arial" w:cs="Arial" w:eastAsia="Arial" w:hAnsi="Arial"/>
          <w:b/>
          <w:bCs/>
          <w:color w:val="0B2545"/>
          <w:sz w:val="22"/>
          <w:szCs w:val="22"/>
        </w:rPr>
        <w:t xml:space="preserve">8.3.3 The NAND Tier and Sandisk</w:t>
      </w:r>
    </w:p>
    <w:p>
      <w:pPr>
        <w:spacing w:after="120" w:before="0" w:line="280"/>
        <w:jc w:val="both"/>
      </w:pPr>
      <w:r>
        <w:rPr>
          <w:rFonts w:ascii="Arial" w:cs="Arial" w:eastAsia="Arial" w:hAnsi="Arial"/>
          <w:b w:val="false"/>
          <w:bCs w:val="false"/>
          <w:i w:val="false"/>
          <w:iCs w:val="false"/>
          <w:color w:val="1D2939"/>
          <w:sz w:val="20"/>
          <w:szCs w:val="20"/>
        </w:rPr>
        <w:t xml:space="preserve">NAND has been the under-discussed beneficiary of the AI buildout. The mechanism is twofold. First, AI training datasets and model checkpoints are stored on NAND-backed enterprise SSDs at petabyte scale; a single frontier training cluster might have 50–100 PB of NVMe storage attached. Second — and increasingly important — KV-cache offload from HBM to NAND is becoming a standard inference optimization for very-long-context workloads, which expands NAND demand from a strict storage tier to a working-memory tier.</w:t>
      </w:r>
    </w:p>
    <w:p>
      <w:pPr>
        <w:spacing w:after="120" w:before="0" w:line="280"/>
        <w:jc w:val="both"/>
      </w:pPr>
      <w:r>
        <w:rPr>
          <w:rFonts w:ascii="Arial" w:cs="Arial" w:eastAsia="Arial" w:hAnsi="Arial"/>
          <w:b w:val="false"/>
          <w:bCs w:val="false"/>
          <w:i w:val="false"/>
          <w:iCs w:val="false"/>
          <w:color w:val="1D2939"/>
          <w:sz w:val="20"/>
          <w:szCs w:val="20"/>
        </w:rPr>
        <w:t xml:space="preserve">The most important NAND development of the past year is the standalone listing of Sandisk (NASDAQ: SNDK) following its February 2025 spin from Western Digital. Sandisk is now the only U.S.-listed NAND pure-play, with a partnership structure with Kioxia for joint-venture fab capacity in Yokkaichi, Japan. Sandisk's revenue mix is roughly 60% retail/consumer NAND and 40% enterprise/data-center NAND, with the enterprise mix growing fastest and carrying the highest gross margins.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Vendor</w:t>
            </w:r>
          </w:p>
        </w:tc>
        <w:tc>
          <w:tcPr>
            <w:tcW w:type="dxa" w:w="18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Approx. NAND Share</w:t>
            </w:r>
          </w:p>
        </w:tc>
        <w:tc>
          <w:tcPr>
            <w:tcW w:type="dxa" w:w="22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Listing</w:t>
            </w:r>
          </w:p>
        </w:tc>
        <w:tc>
          <w:tcPr>
            <w:tcW w:type="dxa" w:w="316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Strategic Position</w:t>
            </w:r>
          </w:p>
        </w:tc>
      </w:tr>
      <w:tr>
        <w:trPr>
          <w:tblHeader w:val="false"/>
        </w:trPr>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Samsung</w:t>
            </w:r>
          </w:p>
        </w:tc>
        <w:tc>
          <w:tcPr>
            <w:tcW w:type="dxa" w:w="18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~30%</w:t>
            </w:r>
          </w:p>
        </w:tc>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005930.KS</w:t>
            </w:r>
          </w:p>
        </w:tc>
        <w:tc>
          <w:tcPr>
            <w:tcW w:type="dxa" w:w="31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Largest NAND vendor; integrated with DRAM; mixed exposure to AI</w:t>
            </w:r>
          </w:p>
        </w:tc>
      </w:tr>
      <w:tr>
        <w:trPr>
          <w:tblHeader w:val="false"/>
        </w:trPr>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SK Hynix (incl. Solidigm)</w:t>
            </w:r>
          </w:p>
        </w:tc>
        <w:tc>
          <w:tcPr>
            <w:tcW w:type="dxa" w:w="18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~21%</w:t>
            </w:r>
          </w:p>
        </w:tc>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000660.KS</w:t>
            </w:r>
          </w:p>
        </w:tc>
        <w:tc>
          <w:tcPr>
            <w:tcW w:type="dxa" w:w="31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Acquired Intel NAND business as Solidigm; PCIe SSD strength</w:t>
            </w:r>
          </w:p>
        </w:tc>
      </w:tr>
      <w:tr>
        <w:trPr>
          <w:tblHeader w:val="false"/>
        </w:trPr>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Kioxia (Toshiba spin)</w:t>
            </w:r>
          </w:p>
        </w:tc>
        <w:tc>
          <w:tcPr>
            <w:tcW w:type="dxa" w:w="18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~17%</w:t>
            </w:r>
          </w:p>
        </w:tc>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Tokyo: 285A</w:t>
            </w:r>
          </w:p>
        </w:tc>
        <w:tc>
          <w:tcPr>
            <w:tcW w:type="dxa" w:w="31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JV partner with Sandisk; key BiCS NAND supplier</w:t>
            </w:r>
          </w:p>
        </w:tc>
      </w:tr>
      <w:tr>
        <w:trPr>
          <w:tblHeader w:val="false"/>
        </w:trPr>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Sandisk (post-WD spin)</w:t>
            </w:r>
          </w:p>
        </w:tc>
        <w:tc>
          <w:tcPr>
            <w:tcW w:type="dxa" w:w="18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~14%</w:t>
            </w:r>
          </w:p>
        </w:tc>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NASDAQ: SNDK</w:t>
            </w:r>
          </w:p>
        </w:tc>
        <w:tc>
          <w:tcPr>
            <w:tcW w:type="dxa" w:w="31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U.S.-listed pure-play; 60% retail, 40% enterprise; rebuilding institutional coverage</w:t>
            </w:r>
          </w:p>
        </w:tc>
      </w:tr>
      <w:tr>
        <w:trPr>
          <w:tblHeader w:val="false"/>
        </w:trPr>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Micron</w:t>
            </w:r>
          </w:p>
        </w:tc>
        <w:tc>
          <w:tcPr>
            <w:tcW w:type="dxa" w:w="18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~12%</w:t>
            </w:r>
          </w:p>
        </w:tc>
        <w:tc>
          <w:tcPr>
            <w:tcW w:type="dxa" w:w="2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NASDAQ: MU</w:t>
            </w:r>
          </w:p>
        </w:tc>
        <w:tc>
          <w:tcPr>
            <w:tcW w:type="dxa" w:w="31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Smaller NAND but integrated with DRAM/HBM franchise</w:t>
            </w:r>
          </w:p>
        </w:tc>
      </w:tr>
      <w:tr>
        <w:trPr>
          <w:tblHeader w:val="false"/>
        </w:trPr>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YMTC (China)</w:t>
            </w:r>
          </w:p>
        </w:tc>
        <w:tc>
          <w:tcPr>
            <w:tcW w:type="dxa" w:w="18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~6%</w:t>
            </w:r>
          </w:p>
        </w:tc>
        <w:tc>
          <w:tcPr>
            <w:tcW w:type="dxa" w:w="2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Private/state-affiliated</w:t>
            </w:r>
          </w:p>
        </w:tc>
        <w:tc>
          <w:tcPr>
            <w:tcW w:type="dxa" w:w="31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Strategic capacity for China; export-controlled</w:t>
            </w:r>
          </w:p>
        </w:tc>
      </w:tr>
    </w:tbl>
    <w:p>
      <w:pPr>
        <w:spacing w:after="120" w:before="0"/>
      </w:pPr>
      <w:r>
        <w:t xml:space="preserve"/>
      </w:r>
    </w:p>
    <w:p>
      <w:pPr>
        <w:spacing w:after="120" w:before="0" w:line="280"/>
        <w:jc w:val="both"/>
      </w:pPr>
      <w:r>
        <w:rPr>
          <w:rFonts w:ascii="Arial" w:cs="Arial" w:eastAsia="Arial" w:hAnsi="Arial"/>
          <w:b w:val="false"/>
          <w:bCs w:val="false"/>
          <w:i w:val="false"/>
          <w:iCs w:val="false"/>
          <w:color w:val="1D2939"/>
          <w:sz w:val="20"/>
          <w:szCs w:val="20"/>
        </w:rPr>
        <w:t xml:space="preserve">Investment view on the NAND tier. We see the NAND market entering a tightening phase through 2026–27 as enterprise SSD demand accelerates and consumer NAND demand stabilizes. SNDK is structurally the most leveraged play to AI-driven enterprise SSD demand, but the story has not yet been broadly picked up by the analyst community — sell-side coverage is still rebuilding post-spin. We initiate Overweight SNDK with a 12-month thesis tied to enterprise pricing recovery.</w:t>
      </w:r>
    </w:p>
    <w:p>
      <w:pPr>
        <w:pStyle w:val="Heading2"/>
        <w:spacing w:after="160" w:before="280"/>
      </w:pPr>
      <w:r>
        <w:rPr>
          <w:rFonts w:ascii="Arial" w:cs="Arial" w:eastAsia="Arial" w:hAnsi="Arial"/>
          <w:b/>
          <w:bCs/>
          <w:color w:val="1B4F8C"/>
          <w:sz w:val="26"/>
          <w:szCs w:val="26"/>
        </w:rPr>
        <w:t xml:space="preserve">8.4 Neoclouds — The GPU-as-a-Service Tier</w:t>
      </w:r>
    </w:p>
    <w:p>
      <w:pPr>
        <w:spacing w:after="120" w:before="0" w:line="280"/>
        <w:jc w:val="both"/>
      </w:pPr>
      <w:r>
        <w:rPr>
          <w:rFonts w:ascii="Arial" w:cs="Arial" w:eastAsia="Arial" w:hAnsi="Arial"/>
          <w:b w:val="false"/>
          <w:bCs w:val="false"/>
          <w:i w:val="false"/>
          <w:iCs w:val="false"/>
          <w:color w:val="1D2939"/>
          <w:sz w:val="20"/>
          <w:szCs w:val="20"/>
        </w:rPr>
        <w:t xml:space="preserve">"Neocloud" is the industry shorthand for a new generation of cloud infrastructure providers that operate at hyperscaler scale but specialize exclusively in GPU rental for AI training and inference. Unlike AWS / Azure / GCP, neoclouds do not offer a full general-purpose cloud stack; they operate as commodity GPU capacity providers with thinner margins, higher capital intensity, and tighter NVIDIA alignment. The category did not exist as an investable theme in 2024 and is now ~$50B in annualized revenue across the listed names.</w:t>
      </w:r>
    </w:p>
    <w:p>
      <w:pPr>
        <w:spacing w:after="120" w:before="0" w:line="280"/>
        <w:jc w:val="both"/>
      </w:pPr>
      <w:r>
        <w:rPr>
          <w:rFonts w:ascii="Arial" w:cs="Arial" w:eastAsia="Arial" w:hAnsi="Arial"/>
          <w:b w:val="false"/>
          <w:bCs w:val="false"/>
          <w:i w:val="false"/>
          <w:iCs w:val="false"/>
          <w:color w:val="1D2939"/>
          <w:sz w:val="20"/>
          <w:szCs w:val="20"/>
        </w:rPr>
        <w:t xml:space="preserve">Neoclouds matter for the desk because they offer pure-play AI capex exposure with cleaner financial profiles than the hyperscalers (whose AI economics are diluted by legacy cloud businesses) and without the technology risk of betting on a single chip vendor (most neoclouds run NVIDIA, but their revenue is workload-agnostic). The four U.S.-listed names worth covering are CoreWeave, Nebius, Applied Digital, and Oracle — each occupies a distinct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400"/>
        <w:gridCol w:w="2300"/>
        <w:gridCol w:w="1660"/>
      </w:tblGrid>
      <w:tr>
        <w:trPr>
          <w:tblHeader/>
        </w:trPr>
        <w:tc>
          <w:tcPr>
            <w:tcW w:type="dxa" w:w="17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Neocloud</w:t>
            </w:r>
          </w:p>
        </w:tc>
        <w:tc>
          <w:tcPr>
            <w:tcW w:type="dxa" w:w="13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Ticker</w:t>
            </w:r>
          </w:p>
        </w:tc>
        <w:tc>
          <w:tcPr>
            <w:tcW w:type="dxa" w:w="24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Position / Thesis</w:t>
            </w:r>
          </w:p>
        </w:tc>
        <w:tc>
          <w:tcPr>
            <w:tcW w:type="dxa" w:w="23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Customer Concentration</w:t>
            </w:r>
          </w:p>
        </w:tc>
        <w:tc>
          <w:tcPr>
            <w:tcW w:type="dxa" w:w="166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Rating</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CoreWeave</w:t>
            </w:r>
          </w:p>
        </w:tc>
        <w:tc>
          <w:tcPr>
            <w:tcW w:type="dxa" w:w="13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NASDAQ: CRWV</w:t>
            </w:r>
          </w:p>
        </w:tc>
        <w:tc>
          <w:tcPr>
            <w:tcW w:type="dxa" w:w="2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Largest pure-play; NVDA preferred-partner; aggressive H100/H200/B200 deployment; Microsoft / OpenAI / Meta primary customers</w:t>
            </w:r>
          </w:p>
        </w:tc>
        <w:tc>
          <w:tcPr>
            <w:tcW w:type="dxa" w:w="23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MSFT &gt;50% of 2024 rev; diversifying</w:t>
            </w:r>
          </w:p>
        </w:tc>
        <w:tc>
          <w:tcPr>
            <w:tcW w:type="dxa" w:w="16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w:t>
            </w:r>
          </w:p>
        </w:tc>
      </w:tr>
      <w:tr>
        <w:trPr>
          <w:tblHeader w:val="false"/>
        </w:trPr>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Nebius</w:t>
            </w:r>
          </w:p>
        </w:tc>
        <w:tc>
          <w:tcPr>
            <w:tcW w:type="dxa" w:w="13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NASDAQ: NBIS</w:t>
            </w:r>
          </w:p>
        </w:tc>
        <w:tc>
          <w:tcPr>
            <w:tcW w:type="dxa" w:w="24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Reformed Yandex N.V. business; EU/Israel HQ; non-Chinese-aligned hyperscale; fast-growing European footprint</w:t>
            </w:r>
          </w:p>
        </w:tc>
        <w:tc>
          <w:tcPr>
            <w:tcW w:type="dxa" w:w="23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Diversified across 1,000+ customers</w:t>
            </w:r>
          </w:p>
        </w:tc>
        <w:tc>
          <w:tcPr>
            <w:tcW w:type="dxa" w:w="16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 (new)</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Applied Digital</w:t>
            </w:r>
          </w:p>
        </w:tc>
        <w:tc>
          <w:tcPr>
            <w:tcW w:type="dxa" w:w="13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NASDAQ: APLD</w:t>
            </w:r>
          </w:p>
        </w:tc>
        <w:tc>
          <w:tcPr>
            <w:tcW w:type="dxa" w:w="2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HPC + AI hosting + power-rich North Dakota campuses; pivoted from blockchain</w:t>
            </w:r>
          </w:p>
        </w:tc>
        <w:tc>
          <w:tcPr>
            <w:tcW w:type="dxa" w:w="23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CoreWeave anchor tenant; HPC mix</w:t>
            </w:r>
          </w:p>
        </w:tc>
        <w:tc>
          <w:tcPr>
            <w:tcW w:type="dxa" w:w="16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Market Weight</w:t>
            </w:r>
          </w:p>
        </w:tc>
      </w:tr>
      <w:tr>
        <w:trPr>
          <w:tblHeader w:val="false"/>
        </w:trPr>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Oracle</w:t>
            </w:r>
          </w:p>
        </w:tc>
        <w:tc>
          <w:tcPr>
            <w:tcW w:type="dxa" w:w="13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NYSE: ORCL</w:t>
            </w:r>
          </w:p>
        </w:tc>
        <w:tc>
          <w:tcPr>
            <w:tcW w:type="dxa" w:w="24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Hyperscaler #4 by AI revenue; OpenAI Stargate partner; aggressive AI capex; $300B+ OpenAI commitments</w:t>
            </w:r>
          </w:p>
        </w:tc>
        <w:tc>
          <w:tcPr>
            <w:tcW w:type="dxa" w:w="23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OpenAI ~50%+ of incremental AI rev</w:t>
            </w:r>
          </w:p>
        </w:tc>
        <w:tc>
          <w:tcPr>
            <w:tcW w:type="dxa" w:w="16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Iris Energy</w:t>
            </w:r>
          </w:p>
        </w:tc>
        <w:tc>
          <w:tcPr>
            <w:tcW w:type="dxa" w:w="13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NASDAQ: IREN</w:t>
            </w:r>
          </w:p>
        </w:tc>
        <w:tc>
          <w:tcPr>
            <w:tcW w:type="dxa" w:w="2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Bitcoin miner pivoting to AI hosting; BC Canada hydro-powered campuses</w:t>
            </w:r>
          </w:p>
        </w:tc>
        <w:tc>
          <w:tcPr>
            <w:tcW w:type="dxa" w:w="23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Early AI tenants; mix transition</w:t>
            </w:r>
          </w:p>
        </w:tc>
        <w:tc>
          <w:tcPr>
            <w:tcW w:type="dxa" w:w="16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Speculative</w:t>
            </w:r>
          </w:p>
        </w:tc>
      </w:tr>
      <w:tr>
        <w:trPr>
          <w:tblHeader w:val="false"/>
        </w:trPr>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Crusoe</w:t>
            </w:r>
          </w:p>
        </w:tc>
        <w:tc>
          <w:tcPr>
            <w:tcW w:type="dxa" w:w="13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Private</w:t>
            </w:r>
          </w:p>
        </w:tc>
        <w:tc>
          <w:tcPr>
            <w:tcW w:type="dxa" w:w="24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Gas-flare-powered DCs; AI hosting; recent $600M funding</w:t>
            </w:r>
          </w:p>
        </w:tc>
        <w:tc>
          <w:tcPr>
            <w:tcW w:type="dxa" w:w="23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Mixed AI tenants</w:t>
            </w:r>
          </w:p>
        </w:tc>
        <w:tc>
          <w:tcPr>
            <w:tcW w:type="dxa" w:w="16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Private</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Lambda Labs</w:t>
            </w:r>
          </w:p>
        </w:tc>
        <w:tc>
          <w:tcPr>
            <w:tcW w:type="dxa" w:w="13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Private</w:t>
            </w:r>
          </w:p>
        </w:tc>
        <w:tc>
          <w:tcPr>
            <w:tcW w:type="dxa" w:w="24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Pure-play AI cloud; long-tail customers; pre-IPO</w:t>
            </w:r>
          </w:p>
        </w:tc>
        <w:tc>
          <w:tcPr>
            <w:tcW w:type="dxa" w:w="23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Diversified</w:t>
            </w:r>
          </w:p>
        </w:tc>
        <w:tc>
          <w:tcPr>
            <w:tcW w:type="dxa" w:w="16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Private</w:t>
            </w:r>
          </w:p>
        </w:tc>
      </w:tr>
    </w:tbl>
    <w:p>
      <w:pPr>
        <w:spacing w:after="120" w:before="0"/>
      </w:pPr>
      <w:r>
        <w:t xml:space="preserve"/>
      </w:r>
    </w:p>
    <w:p>
      <w:pPr>
        <w:spacing w:after="120" w:before="0" w:line="280"/>
        <w:jc w:val="both"/>
      </w:pPr>
      <w:r>
        <w:rPr>
          <w:rFonts w:ascii="Arial" w:cs="Arial" w:eastAsia="Arial" w:hAnsi="Arial"/>
          <w:b w:val="false"/>
          <w:bCs w:val="false"/>
          <w:i w:val="false"/>
          <w:iCs w:val="false"/>
          <w:color w:val="1D2939"/>
          <w:sz w:val="20"/>
          <w:szCs w:val="20"/>
        </w:rPr>
        <w:t xml:space="preserve">Detailed positioning on each:</w:t>
      </w:r>
    </w:p>
    <w:p>
      <w:pPr>
        <w:spacing w:after="120" w:before="0" w:line="280"/>
        <w:jc w:val="both"/>
      </w:pPr>
      <w:r>
        <w:rPr>
          <w:rFonts w:ascii="Arial" w:cs="Arial" w:eastAsia="Arial" w:hAnsi="Arial"/>
          <w:b/>
          <w:bCs/>
          <w:i w:val="false"/>
          <w:iCs w:val="false"/>
          <w:color w:val="1D2939"/>
          <w:sz w:val="20"/>
          <w:szCs w:val="20"/>
        </w:rPr>
        <w:t xml:space="preserve">CoreWeave (CRWV)</w:t>
      </w:r>
      <w:r>
        <w:rPr>
          <w:rFonts w:ascii="Arial" w:cs="Arial" w:eastAsia="Arial" w:hAnsi="Arial"/>
          <w:b w:val="false"/>
          <w:bCs w:val="false"/>
          <w:i w:val="false"/>
          <w:iCs w:val="false"/>
          <w:color w:val="1D2939"/>
          <w:sz w:val="20"/>
          <w:szCs w:val="20"/>
        </w:rPr>
        <w:t xml:space="preserve"> is the dominant U.S.-listed neocloud. Its thesis rests on three pillars: (a) preferred-partner status with NVIDIA, which means CoreWeave gets early allocation of new GPU generations; (b) a long-duration contract book heavily weighted to Microsoft (which then uses CoreWeave capacity to serve OpenAI workloads), backed by guaranteed minimum-revenue commitments; and (c) operational expertise in deploying liquid-cooled rack-scale clusters at hyperscale velocity. The risks are concentration (Microsoft was over half of 2024 revenue, though diversification is improving) and capital intensity (the company runs at very high leverage). We rate Overweight on the basis that the supply/demand setup remains in CoreWeave's favor through at least 2027.</w:t>
      </w:r>
    </w:p>
    <w:p>
      <w:pPr>
        <w:spacing w:after="120" w:before="0" w:line="280"/>
        <w:jc w:val="both"/>
      </w:pPr>
      <w:r>
        <w:rPr>
          <w:rFonts w:ascii="Arial" w:cs="Arial" w:eastAsia="Arial" w:hAnsi="Arial"/>
          <w:b/>
          <w:bCs/>
          <w:i w:val="false"/>
          <w:iCs w:val="false"/>
          <w:color w:val="1D2939"/>
          <w:sz w:val="20"/>
          <w:szCs w:val="20"/>
        </w:rPr>
        <w:t xml:space="preserve">Nebius (NBIS)</w:t>
      </w:r>
      <w:r>
        <w:rPr>
          <w:rFonts w:ascii="Arial" w:cs="Arial" w:eastAsia="Arial" w:hAnsi="Arial"/>
          <w:b w:val="false"/>
          <w:bCs w:val="false"/>
          <w:i w:val="false"/>
          <w:iCs w:val="false"/>
          <w:color w:val="1D2939"/>
          <w:sz w:val="20"/>
          <w:szCs w:val="20"/>
        </w:rPr>
        <w:t xml:space="preserve"> is the reformed parent of the spun-out Yandex N.V. Russian business, now headquartered in Amsterdam with significant operations in Finland and Israel. Strategic differentiation: Nebius is the largest non-U.S., non-Chinese, AI-aligned hyperscale GPU operator, which makes it the natural choice for European enterprises with data-residency or political-alignment concerns. Customer concentration is lower than CoreWeave's; growth is more diversified. We initiate Overweight on NBIS as a v2 addition.</w:t>
      </w:r>
    </w:p>
    <w:p>
      <w:pPr>
        <w:spacing w:after="120" w:before="0" w:line="280"/>
        <w:jc w:val="both"/>
      </w:pPr>
      <w:r>
        <w:rPr>
          <w:rFonts w:ascii="Arial" w:cs="Arial" w:eastAsia="Arial" w:hAnsi="Arial"/>
          <w:b/>
          <w:bCs/>
          <w:i w:val="false"/>
          <w:iCs w:val="false"/>
          <w:color w:val="1D2939"/>
          <w:sz w:val="20"/>
          <w:szCs w:val="20"/>
        </w:rPr>
        <w:t xml:space="preserve">Applied Digital (APLD)</w:t>
      </w:r>
      <w:r>
        <w:rPr>
          <w:rFonts w:ascii="Arial" w:cs="Arial" w:eastAsia="Arial" w:hAnsi="Arial"/>
          <w:b w:val="false"/>
          <w:bCs w:val="false"/>
          <w:i w:val="false"/>
          <w:iCs w:val="false"/>
          <w:color w:val="1D2939"/>
          <w:sz w:val="20"/>
          <w:szCs w:val="20"/>
        </w:rPr>
        <w:t xml:space="preserve"> is a pivoted blockchain-hosting business now serving HPC and AI workloads from North Dakota campuses. Its angle is power: APLD sites have access to abundant low-cost stranded power, which gives it a structural cost advantage. The thesis is partially derivative — APLD is an anchor tenant for CoreWeave at one of its facilities — and partially direct (HPC and AI hosting for diversified customers). Market Weight, with optionality for re-rating if the AI-hosting mix continues to ramp.</w:t>
      </w:r>
    </w:p>
    <w:p>
      <w:pPr>
        <w:spacing w:after="120" w:before="0" w:line="280"/>
        <w:jc w:val="both"/>
      </w:pPr>
      <w:r>
        <w:rPr>
          <w:rFonts w:ascii="Arial" w:cs="Arial" w:eastAsia="Arial" w:hAnsi="Arial"/>
          <w:b/>
          <w:bCs/>
          <w:i w:val="false"/>
          <w:iCs w:val="false"/>
          <w:color w:val="1D2939"/>
          <w:sz w:val="20"/>
          <w:szCs w:val="20"/>
        </w:rPr>
        <w:t xml:space="preserve">Oracle (ORCL)</w:t>
      </w:r>
      <w:r>
        <w:rPr>
          <w:rFonts w:ascii="Arial" w:cs="Arial" w:eastAsia="Arial" w:hAnsi="Arial"/>
          <w:b w:val="false"/>
          <w:bCs w:val="false"/>
          <w:i w:val="false"/>
          <w:iCs w:val="false"/>
          <w:color w:val="1D2939"/>
          <w:sz w:val="20"/>
          <w:szCs w:val="20"/>
        </w:rPr>
        <w:t xml:space="preserve"> is the legacy enterprise software vendor that has improbably become the fourth hyperscaler in AI. Oracle Cloud Infrastructure (OCI) is now the primary capacity provider for OpenAI's Stargate buildout, with reported $300B+ in committed contract value. Oracle's AI capex is now running at an annualized pace comparable to Google's, despite its much smaller absolute cloud market share. The risk is that Oracle is stretching its balance sheet to fund this capex, and OpenAI concentration is meaningful. We rate Overweight on the asymmetry: if OpenAI scales to its 2027 revenue targets, Oracle is dramatically under-rated; if OpenAI stalls, Oracle has more capex obligations than it can comfortably finance.</w:t>
      </w:r>
    </w:p>
    <w:p>
      <w:pPr>
        <w:spacing w:after="120" w:before="0" w:line="280"/>
        <w:jc w:val="both"/>
      </w:pPr>
      <w:r>
        <w:rPr>
          <w:rFonts w:ascii="Arial" w:cs="Arial" w:eastAsia="Arial" w:hAnsi="Arial"/>
          <w:b/>
          <w:bCs/>
          <w:i w:val="false"/>
          <w:iCs w:val="false"/>
          <w:color w:val="1D2939"/>
          <w:sz w:val="20"/>
          <w:szCs w:val="20"/>
        </w:rPr>
        <w:t xml:space="preserve">Iris Energy (IREN)</w:t>
      </w:r>
      <w:r>
        <w:rPr>
          <w:rFonts w:ascii="Arial" w:cs="Arial" w:eastAsia="Arial" w:hAnsi="Arial"/>
          <w:b w:val="false"/>
          <w:bCs w:val="false"/>
          <w:i w:val="false"/>
          <w:iCs w:val="false"/>
          <w:color w:val="1D2939"/>
          <w:sz w:val="20"/>
          <w:szCs w:val="20"/>
        </w:rPr>
        <w:t xml:space="preserve">, Crusoe (private), and Lambda Labs (private) round out the speculative tier. IREN's bitcoin-to-AI pivot is consistent with the broader miner-to-AI migration; the question is whether the operational expertise transfers. Speculative exposure for venture-stage allocators only.</w:t>
      </w:r>
    </w:p>
    <w:p>
      <w:pPr>
        <w:pStyle w:val="Heading2"/>
        <w:spacing w:after="160" w:before="280"/>
      </w:pPr>
      <w:r>
        <w:rPr>
          <w:rFonts w:ascii="Arial" w:cs="Arial" w:eastAsia="Arial" w:hAnsi="Arial"/>
          <w:b/>
          <w:bCs/>
          <w:color w:val="1B4F8C"/>
          <w:sz w:val="26"/>
          <w:szCs w:val="26"/>
        </w:rPr>
        <w:t xml:space="preserve">8.5 Recommended Supply Chain Exposure Portfolio</w:t>
      </w:r>
    </w:p>
    <w:p>
      <w:pPr>
        <w:spacing w:after="120" w:before="0" w:line="280"/>
        <w:jc w:val="both"/>
      </w:pPr>
      <w:r>
        <w:rPr>
          <w:rFonts w:ascii="Arial" w:cs="Arial" w:eastAsia="Arial" w:hAnsi="Arial"/>
          <w:b w:val="false"/>
          <w:bCs w:val="false"/>
          <w:i w:val="false"/>
          <w:iCs w:val="false"/>
          <w:color w:val="1D2939"/>
          <w:sz w:val="20"/>
          <w:szCs w:val="20"/>
        </w:rPr>
        <w:t xml:space="preserve">For a diversified AI picks-and-shovels portfolio, our coverage ranking is:</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Overweight: </w:t>
      </w:r>
      <w:r>
        <w:rPr>
          <w:rFonts w:ascii="Arial" w:cs="Arial" w:eastAsia="Arial" w:hAnsi="Arial"/>
          <w:b w:val="false"/>
          <w:bCs w:val="false"/>
          <w:i w:val="false"/>
          <w:iCs w:val="false"/>
          <w:color w:val="1D2939"/>
          <w:sz w:val="20"/>
          <w:szCs w:val="20"/>
        </w:rPr>
        <w:t xml:space="preserve">NVDA (category leader), TSM (foundry monopoly at leading edge), ASML (lithography monopoly), SK Hynix (000660.KS — HBM share leader), MU (U.S.-listed HBM4 ramp), CRWV (neocloud leader), NBIS (non-U.S. neocloud), ORCL (asymmetric Stargate exposure).</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Overweight Secondary: </w:t>
      </w:r>
      <w:r>
        <w:rPr>
          <w:rFonts w:ascii="Arial" w:cs="Arial" w:eastAsia="Arial" w:hAnsi="Arial"/>
          <w:b w:val="false"/>
          <w:bCs w:val="false"/>
          <w:i w:val="false"/>
          <w:iCs w:val="false"/>
          <w:color w:val="1D2939"/>
          <w:sz w:val="20"/>
          <w:szCs w:val="20"/>
        </w:rPr>
        <w:t xml:space="preserve">AVGO (custom ASIC franchise — most undervalued in the complex; co-design partner on TPU + MTIA + others), SNDK (NAND pure-play, post-spin under-coverage), ACMR/Onto (metrology and inspection).</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Market Weight: </w:t>
      </w:r>
      <w:r>
        <w:rPr>
          <w:rFonts w:ascii="Arial" w:cs="Arial" w:eastAsia="Arial" w:hAnsi="Arial"/>
          <w:b w:val="false"/>
          <w:bCs w:val="false"/>
          <w:i w:val="false"/>
          <w:iCs w:val="false"/>
          <w:color w:val="1D2939"/>
          <w:sz w:val="20"/>
          <w:szCs w:val="20"/>
        </w:rPr>
        <w:t xml:space="preserve">AMD (Instinct MI-series gaining share but distant #2), Samsung (HBM4 catch-up trade), AMAT / LRCX (equipment cyclicality), Dell (DELL) / SMCI (server OEM cycle exposure), APLD (anchor-tenant derivative).</w:t>
      </w:r>
    </w:p>
    <w:p>
      <w:pPr>
        <w:pStyle w:val="ListParagraph"/>
        <w:numPr>
          <w:ilvl w:val="0"/>
          <w:numId w:val="2"/>
        </w:numPr>
        <w:spacing w:after="80" w:before="40" w:line="280"/>
        <w:jc w:val="left"/>
      </w:pPr>
      <w:r>
        <w:rPr>
          <w:rFonts w:ascii="Arial" w:cs="Arial" w:eastAsia="Arial" w:hAnsi="Arial"/>
          <w:b/>
          <w:bCs/>
          <w:i w:val="false"/>
          <w:iCs w:val="false"/>
          <w:color w:val="1D2939"/>
          <w:sz w:val="20"/>
          <w:szCs w:val="20"/>
        </w:rPr>
        <w:t xml:space="preserve">Tactical: </w:t>
      </w:r>
      <w:r>
        <w:rPr>
          <w:rFonts w:ascii="Arial" w:cs="Arial" w:eastAsia="Arial" w:hAnsi="Arial"/>
          <w:b w:val="false"/>
          <w:bCs w:val="false"/>
          <w:i w:val="false"/>
          <w:iCs w:val="false"/>
          <w:color w:val="1D2939"/>
          <w:sz w:val="20"/>
          <w:szCs w:val="20"/>
        </w:rPr>
        <w:t xml:space="preserve">Constellation (CEG), Vistra (VST), Talen Energy (TLN), NextEra (NEE) for the power angle; OKLO, NNE for SMR optionality (speculative); IREN for miner-to-AI optionality.</w:t>
      </w:r>
    </w:p>
    <w:p>
      <w:r>
        <w:br w:type="page"/>
      </w:r>
    </w:p>
    <w:p>
      <w:pPr>
        <w:pStyle w:val="Heading1"/>
        <w:spacing w:after="200" w:before="360"/>
      </w:pPr>
      <w:r>
        <w:rPr>
          <w:rFonts w:ascii="Arial" w:cs="Arial" w:eastAsia="Arial" w:hAnsi="Arial"/>
          <w:b/>
          <w:bCs/>
          <w:color w:val="0B2545"/>
          <w:sz w:val="32"/>
          <w:szCs w:val="32"/>
        </w:rPr>
        <w:t xml:space="preserve">9. Headwinds and Tailwinds Across the Stack</w:t>
      </w:r>
    </w:p>
    <w:p>
      <w:pPr>
        <w:spacing w:after="120" w:before="0" w:line="280"/>
        <w:jc w:val="both"/>
      </w:pPr>
      <w:r>
        <w:rPr>
          <w:rFonts w:ascii="Arial" w:cs="Arial" w:eastAsia="Arial" w:hAnsi="Arial"/>
          <w:b w:val="false"/>
          <w:bCs w:val="false"/>
          <w:i w:val="false"/>
          <w:iCs w:val="false"/>
          <w:color w:val="1D2939"/>
          <w:sz w:val="20"/>
          <w:szCs w:val="20"/>
        </w:rPr>
        <w:t xml:space="preserve">This section frames the directional pressures acting on each major segment of the AI value chain. Our framework distinguishes between (a) tailwinds that are structurally durable through at least 2027 and (b) headwinds that are either cyclical, policy-driven, or capability-driven and therefore subject to abrupt reversal. The MD should read this section as the desk's risk map — it indicates where consensus is well-priced, where it is mispriced, and where the asymmetric outcomes lie.</w:t>
      </w:r>
    </w:p>
    <w:p>
      <w:pPr>
        <w:pStyle w:val="Heading2"/>
        <w:spacing w:after="160" w:before="280"/>
      </w:pPr>
      <w:r>
        <w:rPr>
          <w:rFonts w:ascii="Arial" w:cs="Arial" w:eastAsia="Arial" w:hAnsi="Arial"/>
          <w:b/>
          <w:bCs/>
          <w:color w:val="1B4F8C"/>
          <w:sz w:val="26"/>
          <w:szCs w:val="26"/>
        </w:rPr>
        <w:t xml:space="preserve">9.1 Tailwinds — Structural and Durable</w:t>
      </w:r>
    </w:p>
    <w:p>
      <w:pPr>
        <w:pStyle w:val="Heading3"/>
        <w:spacing w:after="120" w:before="200"/>
      </w:pPr>
      <w:r>
        <w:rPr>
          <w:rFonts w:ascii="Arial" w:cs="Arial" w:eastAsia="Arial" w:hAnsi="Arial"/>
          <w:b/>
          <w:bCs/>
          <w:color w:val="0B2545"/>
          <w:sz w:val="22"/>
          <w:szCs w:val="22"/>
        </w:rPr>
        <w:t xml:space="preserve">Tailwind 1: The Capex Supercycle Has No Visible Ceiling</w:t>
      </w:r>
    </w:p>
    <w:p>
      <w:pPr>
        <w:spacing w:after="120" w:before="0" w:line="280"/>
        <w:jc w:val="both"/>
      </w:pPr>
      <w:r>
        <w:rPr>
          <w:rFonts w:ascii="Arial" w:cs="Arial" w:eastAsia="Arial" w:hAnsi="Arial"/>
          <w:b w:val="false"/>
          <w:bCs w:val="false"/>
          <w:i w:val="false"/>
          <w:iCs w:val="false"/>
          <w:color w:val="1D2939"/>
          <w:sz w:val="20"/>
          <w:szCs w:val="20"/>
        </w:rPr>
        <w:t xml:space="preserve">The 2026 capex run-rate across the four U.S. hyperscalers (MSFT, AMZN, GOOGL, META) plus Oracle is tracking toward $560–600B aggregate, up from approximately $370B in 2025. Alphabet alone has guided to up to $185B in 2026 capex, and OpenAI has executed roughly $1.4T in total infrastructure commitments across multi-year supply agreements with Oracle, CoreWeave, NVIDIA, AMD, Broadcom, and Google Cloud. These are signed, contractual commitments — not aspirational forecasts. The implication for the supply chain (NVDA, TSM, ASML, AVGO, SK Hynix, MU, AMAT, LRCX) is that 2026–27 demand is effectively contracted out at this point.</w:t>
      </w:r>
    </w:p>
    <w:p>
      <w:pPr>
        <w:spacing w:after="120" w:before="0" w:line="280"/>
        <w:jc w:val="both"/>
      </w:pPr>
      <w:r>
        <w:rPr>
          <w:rFonts w:ascii="Arial" w:cs="Arial" w:eastAsia="Arial" w:hAnsi="Arial"/>
          <w:b w:val="false"/>
          <w:bCs w:val="false"/>
          <w:i w:val="false"/>
          <w:iCs w:val="false"/>
          <w:color w:val="1D2939"/>
          <w:sz w:val="20"/>
          <w:szCs w:val="20"/>
        </w:rPr>
        <w:t xml:space="preserve">This is the most important tailwind in the entire report. Capex commitments of this scale are not unwound on a quarter's earnings miss — they are infrastructure decisions made on 5–10 year planning horizons. Even in a scenario where AI revenue growth disappoints in 2026, the 2026 capex is already booked, the silicon is already on order, and the data center concrete is already being poured. The supply chain is insulated from near-term demand softness in a way that the application layer is not.</w:t>
      </w:r>
    </w:p>
    <w:p>
      <w:pPr>
        <w:pStyle w:val="Heading3"/>
        <w:spacing w:after="120" w:before="200"/>
      </w:pPr>
      <w:r>
        <w:rPr>
          <w:rFonts w:ascii="Arial" w:cs="Arial" w:eastAsia="Arial" w:hAnsi="Arial"/>
          <w:b/>
          <w:bCs/>
          <w:color w:val="0B2545"/>
          <w:sz w:val="22"/>
          <w:szCs w:val="22"/>
        </w:rPr>
        <w:t xml:space="preserve">Tailwind 2: Inference Volume Growth Is Compounding Faster Than Pricing Decline</w:t>
      </w:r>
    </w:p>
    <w:p>
      <w:pPr>
        <w:spacing w:after="120" w:before="0" w:line="280"/>
        <w:jc w:val="both"/>
      </w:pPr>
      <w:r>
        <w:rPr>
          <w:rFonts w:ascii="Arial" w:cs="Arial" w:eastAsia="Arial" w:hAnsi="Arial"/>
          <w:b w:val="false"/>
          <w:bCs w:val="false"/>
          <w:i w:val="false"/>
          <w:iCs w:val="false"/>
          <w:color w:val="1D2939"/>
          <w:sz w:val="20"/>
          <w:szCs w:val="20"/>
        </w:rPr>
        <w:t xml:space="preserve">Token consumption industry-wide is growing at approximately 8–10× year-over-year while average per-token pricing is falling at approximately 5–8× year-over-year. Net effect: aggregate revenue from inference is still growing at ~50–100% YoY despite the deflation. This is the central reason why "DeepSeek will collapse pricing" was the wrong takeaway from January 2025 — pricing did collapse, but volume more than compensated. We expect this dynamic to continue through at least 2027 as agentic workloads (which consume 10–100× the tokens of chat workloads per task) scale.</w:t>
      </w:r>
    </w:p>
    <w:p>
      <w:pPr>
        <w:pStyle w:val="Heading3"/>
        <w:spacing w:after="120" w:before="200"/>
      </w:pPr>
      <w:r>
        <w:rPr>
          <w:rFonts w:ascii="Arial" w:cs="Arial" w:eastAsia="Arial" w:hAnsi="Arial"/>
          <w:b/>
          <w:bCs/>
          <w:color w:val="0B2545"/>
          <w:sz w:val="22"/>
          <w:szCs w:val="22"/>
        </w:rPr>
        <w:t xml:space="preserve">Tailwind 3: Reasoning-Mode Adoption Is Multiplying Per-Query Compute</w:t>
      </w:r>
    </w:p>
    <w:p>
      <w:pPr>
        <w:spacing w:after="120" w:before="0" w:line="280"/>
        <w:jc w:val="both"/>
      </w:pPr>
      <w:r>
        <w:rPr>
          <w:rFonts w:ascii="Arial" w:cs="Arial" w:eastAsia="Arial" w:hAnsi="Arial"/>
          <w:b w:val="false"/>
          <w:bCs w:val="false"/>
          <w:i w:val="false"/>
          <w:iCs w:val="false"/>
          <w:color w:val="1D2939"/>
          <w:sz w:val="20"/>
          <w:szCs w:val="20"/>
        </w:rPr>
        <w:t xml:space="preserve">The shift from single-pass generation (2023–24 paradigm) to chain-of-thought reasoning with internal scratchpads (2025–26 paradigm) has increased the average compute per query by a factor of 5–50× depending on task complexity. For agentic workflows running for hours autonomously (Kimi K2.6 13-hour autonomous demonstrations, Claude Opus 4.6 multi-hour coding sessions), the compute per session is several orders of magnitude higher than 2023 chat workloads. Each token of inference now does substantially more work but consumes substantially more silicon.</w:t>
      </w:r>
    </w:p>
    <w:p>
      <w:pPr>
        <w:pStyle w:val="Heading3"/>
        <w:spacing w:after="120" w:before="200"/>
      </w:pPr>
      <w:r>
        <w:rPr>
          <w:rFonts w:ascii="Arial" w:cs="Arial" w:eastAsia="Arial" w:hAnsi="Arial"/>
          <w:b/>
          <w:bCs/>
          <w:color w:val="0B2545"/>
          <w:sz w:val="22"/>
          <w:szCs w:val="22"/>
        </w:rPr>
        <w:t xml:space="preserve">Tailwind 4: Memory Intensity Per Accelerator Is Rising</w:t>
      </w:r>
    </w:p>
    <w:p>
      <w:pPr>
        <w:spacing w:after="120" w:before="0" w:line="280"/>
        <w:jc w:val="both"/>
      </w:pPr>
      <w:r>
        <w:rPr>
          <w:rFonts w:ascii="Arial" w:cs="Arial" w:eastAsia="Arial" w:hAnsi="Arial"/>
          <w:b w:val="false"/>
          <w:bCs w:val="false"/>
          <w:i w:val="false"/>
          <w:iCs w:val="false"/>
          <w:color w:val="1D2939"/>
          <w:sz w:val="20"/>
          <w:szCs w:val="20"/>
        </w:rPr>
        <w:t xml:space="preserve">HBM per GPU has roughly doubled every generation: H100 (80GB HBM3) → B200 (192GB HBM3E) → Vera Rubin (288GB HBM4 expected). This is independent of unit GPU growth — it is a per-unit content increase. Combined with HBM4's bandwidth doubling versus HBM3E (2.8 TB/s vs. 1.2 TB/s), the dollar content of memory inside each AI accelerator is on a multi-year structural growth trajectory regardless of chip unit volume. This is the single most overlooked structural tailwind for SK Hynix, Micron, and Samsung.</w:t>
      </w:r>
    </w:p>
    <w:p>
      <w:pPr>
        <w:pStyle w:val="Heading3"/>
        <w:spacing w:after="120" w:before="200"/>
      </w:pPr>
      <w:r>
        <w:rPr>
          <w:rFonts w:ascii="Arial" w:cs="Arial" w:eastAsia="Arial" w:hAnsi="Arial"/>
          <w:b/>
          <w:bCs/>
          <w:color w:val="0B2545"/>
          <w:sz w:val="22"/>
          <w:szCs w:val="22"/>
        </w:rPr>
        <w:t xml:space="preserve">Tailwind 5: Geopolitical Bifurcation Is Creating Two Parallel Stacks</w:t>
      </w:r>
    </w:p>
    <w:p>
      <w:pPr>
        <w:spacing w:after="120" w:before="0" w:line="280"/>
        <w:jc w:val="both"/>
      </w:pPr>
      <w:r>
        <w:rPr>
          <w:rFonts w:ascii="Arial" w:cs="Arial" w:eastAsia="Arial" w:hAnsi="Arial"/>
          <w:b w:val="false"/>
          <w:bCs w:val="false"/>
          <w:i w:val="false"/>
          <w:iCs w:val="false"/>
          <w:color w:val="1D2939"/>
          <w:sz w:val="20"/>
          <w:szCs w:val="20"/>
        </w:rPr>
        <w:t xml:space="preserve">U.S. export restrictions on advanced GPUs to China have catalyzed a second, parallel AI stack centered on Huawei Ascend 910/950, SMIC fabrication, and CXMT memory. Rather than reducing global AI capex, this has increased it — China is now building duplicate infrastructure. The Huawei Ascend 950PR launching in 2026 is targeted at hyperscale Chinese inference workloads and has already been adopted as the default platform for DeepSeek V4. The structural read: global AI silicon demand is rising in absolute terms because of geopolitical fragmentation, not despite it.</w:t>
      </w:r>
    </w:p>
    <w:p>
      <w:pPr>
        <w:pStyle w:val="Heading2"/>
        <w:spacing w:after="160" w:before="280"/>
      </w:pPr>
      <w:r>
        <w:rPr>
          <w:rFonts w:ascii="Arial" w:cs="Arial" w:eastAsia="Arial" w:hAnsi="Arial"/>
          <w:b/>
          <w:bCs/>
          <w:color w:val="1B4F8C"/>
          <w:sz w:val="26"/>
          <w:szCs w:val="26"/>
        </w:rPr>
        <w:t xml:space="preserve">9.2 Headwinds — Risks the Desk Should Monitor</w:t>
      </w:r>
    </w:p>
    <w:p>
      <w:pPr>
        <w:pStyle w:val="Heading3"/>
        <w:spacing w:after="120" w:before="200"/>
      </w:pPr>
      <w:r>
        <w:rPr>
          <w:rFonts w:ascii="Arial" w:cs="Arial" w:eastAsia="Arial" w:hAnsi="Arial"/>
          <w:b/>
          <w:bCs/>
          <w:color w:val="0B2545"/>
          <w:sz w:val="22"/>
          <w:szCs w:val="22"/>
        </w:rPr>
        <w:t xml:space="preserve">Headwind 1: Pricing-Power Compression at the Model Layer</w:t>
      </w:r>
    </w:p>
    <w:p>
      <w:pPr>
        <w:spacing w:after="120" w:before="0" w:line="280"/>
        <w:jc w:val="both"/>
      </w:pPr>
      <w:r>
        <w:rPr>
          <w:rFonts w:ascii="Arial" w:cs="Arial" w:eastAsia="Arial" w:hAnsi="Arial"/>
          <w:b w:val="false"/>
          <w:bCs w:val="false"/>
          <w:i w:val="false"/>
          <w:iCs w:val="false"/>
          <w:color w:val="1D2939"/>
          <w:sz w:val="20"/>
          <w:szCs w:val="20"/>
        </w:rPr>
        <w:t xml:space="preserve">Per-token pricing for closed-weight frontier models has fallen faster than most allocators appreciate. GPT-4 launched at $30 / 1M input tokens in 2023; Claude Opus 4.6 currently sits at $15 / 1M input tokens; Gemini 3.1 Pro at $1.25 / 1M for standard mode; and the Chinese open-weight cohort (DeepSeek, Qwen, Kimi) ranges from $0.14 to $0.55 per 1M tokens for comparable capability. The frontier-model price premium versus open-weight has compressed from ~30× in 2023 to ~10–25× today and is on a clear glide path to ~3–5× by 2027. This is bearish for OpenAI/Anthropic API economics if their enterprise mix does not continue to scale faster than per-token pricing falls.</w:t>
      </w:r>
    </w:p>
    <w:p>
      <w:pPr>
        <w:pStyle w:val="Heading3"/>
        <w:spacing w:after="120" w:before="200"/>
      </w:pPr>
      <w:r>
        <w:rPr>
          <w:rFonts w:ascii="Arial" w:cs="Arial" w:eastAsia="Arial" w:hAnsi="Arial"/>
          <w:b/>
          <w:bCs/>
          <w:color w:val="0B2545"/>
          <w:sz w:val="22"/>
          <w:szCs w:val="22"/>
        </w:rPr>
        <w:t xml:space="preserve">Headwind 2: Power and Grid Constraints Becoming Binding</w:t>
      </w:r>
    </w:p>
    <w:p>
      <w:pPr>
        <w:spacing w:after="120" w:before="0" w:line="280"/>
        <w:jc w:val="both"/>
      </w:pPr>
      <w:r>
        <w:rPr>
          <w:rFonts w:ascii="Arial" w:cs="Arial" w:eastAsia="Arial" w:hAnsi="Arial"/>
          <w:b w:val="false"/>
          <w:bCs w:val="false"/>
          <w:i w:val="false"/>
          <w:iCs w:val="false"/>
          <w:color w:val="1D2939"/>
          <w:sz w:val="20"/>
          <w:szCs w:val="20"/>
        </w:rPr>
        <w:t xml:space="preserve">U.S. data center electricity demand is projected to rise from approximately 176 TWh in 2023 to 325–580 TWh by 2028 — an effective doubling-to-tripling in five years. The PJM Interconnection (covering Mid-Atlantic and parts of the Midwest) is projecting a 6 GW supply shortfall by 2027. Permitting, transmission, and generation buildout cycles run 3–7 years; AI data center planning runs 12–24 months. This mismatch is the single biggest non-silicon constraint on the buildout. It benefits Constellation, Vistra, Talen, NextEra, and the SMR cohort (Oklo, NuScale, GE Hitachi BWRX-300) but represents a hard cap on hyperscaler scaling velocity.</w:t>
      </w:r>
    </w:p>
    <w:p>
      <w:pPr>
        <w:pStyle w:val="Heading3"/>
        <w:spacing w:after="120" w:before="200"/>
      </w:pPr>
      <w:r>
        <w:rPr>
          <w:rFonts w:ascii="Arial" w:cs="Arial" w:eastAsia="Arial" w:hAnsi="Arial"/>
          <w:b/>
          <w:bCs/>
          <w:color w:val="0B2545"/>
          <w:sz w:val="22"/>
          <w:szCs w:val="22"/>
        </w:rPr>
        <w:t xml:space="preserve">Headwind 3: Customer Concentration Risk in the Supply Chain</w:t>
      </w:r>
    </w:p>
    <w:p>
      <w:pPr>
        <w:spacing w:after="120" w:before="0" w:line="280"/>
        <w:jc w:val="both"/>
      </w:pPr>
      <w:r>
        <w:rPr>
          <w:rFonts w:ascii="Arial" w:cs="Arial" w:eastAsia="Arial" w:hAnsi="Arial"/>
          <w:b w:val="false"/>
          <w:bCs w:val="false"/>
          <w:i w:val="false"/>
          <w:iCs w:val="false"/>
          <w:color w:val="1D2939"/>
          <w:sz w:val="20"/>
          <w:szCs w:val="20"/>
        </w:rPr>
        <w:t xml:space="preserve">NVIDIA derives an outsized share of revenue from a handful of hyperscaler customers; SK Hynix derives an estimated ~90% of its HBM revenue from NVIDIA alone. CoreWeave's customer concentration is even more extreme — Microsoft has historically been ~60–70% of revenue, with OpenAI emerging as a second large customer. Any pause, reallocation, or in-sourcing decision by these counterparties would have second-order effects through the supply chain. The MD should treat this as a tail risk, not a base case — but it is the dominant downside scenario for the picks-and-shovels thesis.</w:t>
      </w:r>
    </w:p>
    <w:p>
      <w:pPr>
        <w:pStyle w:val="Heading3"/>
        <w:spacing w:after="120" w:before="200"/>
      </w:pPr>
      <w:r>
        <w:rPr>
          <w:rFonts w:ascii="Arial" w:cs="Arial" w:eastAsia="Arial" w:hAnsi="Arial"/>
          <w:b/>
          <w:bCs/>
          <w:color w:val="0B2545"/>
          <w:sz w:val="22"/>
          <w:szCs w:val="22"/>
        </w:rPr>
        <w:t xml:space="preserve">Headwind 4: Regulatory Surface Area Is Expanding</w:t>
      </w:r>
    </w:p>
    <w:p>
      <w:pPr>
        <w:spacing w:after="120" w:before="0" w:line="280"/>
        <w:jc w:val="both"/>
      </w:pPr>
      <w:r>
        <w:rPr>
          <w:rFonts w:ascii="Arial" w:cs="Arial" w:eastAsia="Arial" w:hAnsi="Arial"/>
          <w:b w:val="false"/>
          <w:bCs w:val="false"/>
          <w:i w:val="false"/>
          <w:iCs w:val="false"/>
          <w:color w:val="1D2939"/>
          <w:sz w:val="20"/>
          <w:szCs w:val="20"/>
        </w:rPr>
        <w:t xml:space="preserve">EU AI Act enforcement began in 2025; California SB 1047-style state legislation continues to accumulate; the FTC has signaled antitrust scrutiny of MSFT-OpenAI and AMZN-Anthropic relationships. Export control regimes are tightening (BIS rules on advanced GPU shipments, Entity List additions). None of these are existential to the thesis but each introduces compliance cost and incremental uncertainty. The Chinese open-weight cohort is also at risk of U.S. application-layer restrictions, which would reshape distribution but not training capability.</w:t>
      </w:r>
    </w:p>
    <w:p>
      <w:pPr>
        <w:pStyle w:val="Heading3"/>
        <w:spacing w:after="120" w:before="200"/>
      </w:pPr>
      <w:r>
        <w:rPr>
          <w:rFonts w:ascii="Arial" w:cs="Arial" w:eastAsia="Arial" w:hAnsi="Arial"/>
          <w:b/>
          <w:bCs/>
          <w:color w:val="0B2545"/>
          <w:sz w:val="22"/>
          <w:szCs w:val="22"/>
        </w:rPr>
        <w:t xml:space="preserve">Headwind 5: Capability Plateau Risk at the Frontier</w:t>
      </w:r>
    </w:p>
    <w:p>
      <w:pPr>
        <w:spacing w:after="120" w:before="0" w:line="280"/>
        <w:jc w:val="both"/>
      </w:pPr>
      <w:r>
        <w:rPr>
          <w:rFonts w:ascii="Arial" w:cs="Arial" w:eastAsia="Arial" w:hAnsi="Arial"/>
          <w:b w:val="false"/>
          <w:bCs w:val="false"/>
          <w:i w:val="false"/>
          <w:iCs w:val="false"/>
          <w:color w:val="1D2939"/>
          <w:sz w:val="20"/>
          <w:szCs w:val="20"/>
        </w:rPr>
        <w:t xml:space="preserve">The pace of capability improvement on frontier benchmarks has slowed in 2026 versus 2023–25. GPT-5.4 versus GPT-5 represents incremental improvement; Claude Opus 4.6 versus 4.5 is similarly incremental. The marginal dollar of training compute is buying less marginal capability than it did 18 months ago. If this slowdown continues, the open-weight cohort's relative position improves materially (because they catch up to a slower-moving target), and the per-token pricing premium for closed-weight frontier capability erodes faster. This is the single biggest capability-side risk to the closed-weight thesis.</w:t>
      </w:r>
    </w:p>
    <w:p>
      <w:pPr>
        <w:pStyle w:val="Heading2"/>
        <w:spacing w:after="160" w:before="280"/>
      </w:pPr>
      <w:r>
        <w:rPr>
          <w:rFonts w:ascii="Arial" w:cs="Arial" w:eastAsia="Arial" w:hAnsi="Arial"/>
          <w:b/>
          <w:bCs/>
          <w:color w:val="1B4F8C"/>
          <w:sz w:val="26"/>
          <w:szCs w:val="26"/>
        </w:rPr>
        <w:t xml:space="preserve">9.3 Open-Weight Camp — Specific Headwinds and Tailwinds</w:t>
      </w:r>
    </w:p>
    <w:p>
      <w:pPr>
        <w:spacing w:after="120" w:before="0" w:line="280"/>
        <w:jc w:val="both"/>
      </w:pPr>
      <w:r>
        <w:rPr>
          <w:rFonts w:ascii="Arial" w:cs="Arial" w:eastAsia="Arial" w:hAnsi="Arial"/>
          <w:b w:val="false"/>
          <w:bCs w:val="false"/>
          <w:i w:val="false"/>
          <w:iCs w:val="false"/>
          <w:color w:val="1D2939"/>
          <w:sz w:val="20"/>
          <w:szCs w:val="20"/>
        </w:rPr>
        <w:t xml:space="preserve">Open-weight models face a specific set of structural pressures that are distinct from the broader market. On the tailwind side: (a) inference cost arbitrage favors open-weight self-hosting as enterprise inference volumes scale; (b) regulatory / sovereign-AI mandates in the EU, India, Middle East, and ASEAN explicitly favor self-hostable open-weight stacks; (c) the architectural commoditization (sparse MoE, reasoning integration) has eliminated most of the closed-weight technical moat; and (d) the Chinese cohort has demonstrated that frontier capability is achievable at training budgets one to two orders of magnitude smaller than the U.S. closed-weight labs assumed.</w:t>
      </w:r>
    </w:p>
    <w:p>
      <w:pPr>
        <w:spacing w:after="120" w:before="0" w:line="280"/>
        <w:jc w:val="both"/>
      </w:pPr>
      <w:r>
        <w:rPr>
          <w:rFonts w:ascii="Arial" w:cs="Arial" w:eastAsia="Arial" w:hAnsi="Arial"/>
          <w:b w:val="false"/>
          <w:bCs w:val="false"/>
          <w:i w:val="false"/>
          <w:iCs w:val="false"/>
          <w:color w:val="1D2939"/>
          <w:sz w:val="20"/>
          <w:szCs w:val="20"/>
        </w:rPr>
        <w:t xml:space="preserve">On the headwind side: (a) monetization is structurally weak — Meta does not directly monetize Llama, and most Chinese open-weight labs operate at a loss subsidized by parent companies (Tencent Cloud, Alibaba Cloud, Baidu Cloud); (b) safety tuning, red-teaming, and evaluation infrastructure is materially weaker than at frontier closed-weight labs, which raises enterprise-deployment cost-of-ownership; (c) talent retention is harder when the lab does not capture the upside of breakthrough capability — DeepSeek, MiniMax, and Mistral have all seen senior-researcher departures to closed-weight competitors in 2025–26.</w:t>
      </w:r>
    </w:p>
    <w:p>
      <w:pPr>
        <w:pStyle w:val="Heading2"/>
        <w:spacing w:after="160" w:before="280"/>
      </w:pPr>
      <w:r>
        <w:rPr>
          <w:rFonts w:ascii="Arial" w:cs="Arial" w:eastAsia="Arial" w:hAnsi="Arial"/>
          <w:b/>
          <w:bCs/>
          <w:color w:val="1B4F8C"/>
          <w:sz w:val="26"/>
          <w:szCs w:val="26"/>
        </w:rPr>
        <w:t xml:space="preserve">9.4 Closed-Weight Camp — Specific Headwinds and Tailwinds</w:t>
      </w:r>
    </w:p>
    <w:p>
      <w:pPr>
        <w:spacing w:after="120" w:before="0" w:line="280"/>
        <w:jc w:val="both"/>
      </w:pPr>
      <w:r>
        <w:rPr>
          <w:rFonts w:ascii="Arial" w:cs="Arial" w:eastAsia="Arial" w:hAnsi="Arial"/>
          <w:b w:val="false"/>
          <w:bCs w:val="false"/>
          <w:i w:val="false"/>
          <w:iCs w:val="false"/>
          <w:color w:val="1D2939"/>
          <w:sz w:val="20"/>
          <w:szCs w:val="20"/>
        </w:rPr>
        <w:t xml:space="preserve">On the tailwind side: (a) enterprise mix is scaling faster than consumer for both OpenAI and Anthropic, which is the higher-margin and stickier revenue pool; (b) agentic deployment is a genuine moat — reliability and safety engineering at the frontier is meaningfully harder than capability engineering at parity, and this is where Anthropic in particular has structural advantage; (c) ecosystem lock-in via developer tooling (Claude Code, OpenAI Codex, Cursor, GPT Apps) is compounding; (d) safety-cleared deployments in regulated industries (defense, healthcare, financial services) are largely closed-weight by mandate.</w:t>
      </w:r>
    </w:p>
    <w:p>
      <w:pPr>
        <w:spacing w:after="120" w:before="0" w:line="280"/>
        <w:jc w:val="both"/>
      </w:pPr>
      <w:r>
        <w:rPr>
          <w:rFonts w:ascii="Arial" w:cs="Arial" w:eastAsia="Arial" w:hAnsi="Arial"/>
          <w:b w:val="false"/>
          <w:bCs w:val="false"/>
          <w:i w:val="false"/>
          <w:iCs w:val="false"/>
          <w:color w:val="1D2939"/>
          <w:sz w:val="20"/>
          <w:szCs w:val="20"/>
        </w:rPr>
        <w:t xml:space="preserve">On the headwind side: (a) per-query unit economics are deteriorating as reasoning-mode compute consumption scales faster than per-token pricing can be reset; (b) the compute spend required to defend the frontier is rising approximately 3–5× per generation, which compresses returns on training capex if capability gains slow; (c) open-weight competition is structurally deflationary at the floor, which compresses the addressable price ceiling for closed-weight models over time; (d) hyperscaler partner-and-compete dynamics (MSFT building MAI-1, AMZN pushing Nova, GOOGL prioritizing Gemini over Anthropic distribution) are growing as a strategic risk.</w:t>
      </w:r>
    </w:p>
    <w:p>
      <w:r>
        <w:br w:type="page"/>
      </w:r>
    </w:p>
    <w:p>
      <w:pPr>
        <w:pStyle w:val="Heading1"/>
        <w:spacing w:after="200" w:before="360"/>
      </w:pPr>
      <w:r>
        <w:rPr>
          <w:rFonts w:ascii="Arial" w:cs="Arial" w:eastAsia="Arial" w:hAnsi="Arial"/>
          <w:b/>
          <w:bCs/>
          <w:color w:val="0B2545"/>
          <w:sz w:val="32"/>
          <w:szCs w:val="32"/>
        </w:rPr>
        <w:t xml:space="preserve">10. Recent Catalysts and Forward Calendar</w:t>
      </w:r>
    </w:p>
    <w:p>
      <w:pPr>
        <w:spacing w:after="120" w:before="0" w:line="280"/>
        <w:jc w:val="both"/>
      </w:pPr>
      <w:r>
        <w:rPr>
          <w:rFonts w:ascii="Arial" w:cs="Arial" w:eastAsia="Arial" w:hAnsi="Arial"/>
          <w:b w:val="false"/>
          <w:bCs w:val="false"/>
          <w:i w:val="false"/>
          <w:iCs w:val="false"/>
          <w:color w:val="1D2939"/>
          <w:sz w:val="20"/>
          <w:szCs w:val="20"/>
        </w:rPr>
        <w:t xml:space="preserve">This section catalogs the material catalysts of the trailing 90 days that bear on the AI investment thesis, plus the forward catalyst calendar through Q3 2026. Items are organized by category. The desk should treat this as the running event log; bolded items are catalysts the desk has flagged as material to active positions.</w:t>
      </w:r>
    </w:p>
    <w:p>
      <w:pPr>
        <w:pStyle w:val="Heading2"/>
        <w:spacing w:after="160" w:before="280"/>
      </w:pPr>
      <w:r>
        <w:rPr>
          <w:rFonts w:ascii="Arial" w:cs="Arial" w:eastAsia="Arial" w:hAnsi="Arial"/>
          <w:b/>
          <w:bCs/>
          <w:color w:val="1B4F8C"/>
          <w:sz w:val="26"/>
          <w:szCs w:val="26"/>
        </w:rPr>
        <w:t xml:space="preserve">10.1 Capital Markets Catalysts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5760"/>
      </w:tblGrid>
      <w:tr>
        <w:trPr>
          <w:tblHeader/>
        </w:trPr>
        <w:tc>
          <w:tcPr>
            <w:tcW w:type="dxa" w:w="16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Date</w:t>
            </w:r>
          </w:p>
        </w:tc>
        <w:tc>
          <w:tcPr>
            <w:tcW w:type="dxa" w:w="11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Type</w:t>
            </w:r>
          </w:p>
        </w:tc>
        <w:tc>
          <w:tcPr>
            <w:tcW w:type="dxa" w:w="576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Event and Read-Through</w:t>
            </w:r>
          </w:p>
        </w:tc>
      </w:tr>
      <w:tr>
        <w:trPr>
          <w:tblHeader w:val="false"/>
        </w:trPr>
        <w:tc>
          <w:tcPr>
            <w:tcW w:type="dxa" w:w="16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Feb 2026</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Primary</w:t>
            </w:r>
          </w:p>
        </w:tc>
        <w:tc>
          <w:tcPr>
            <w:tcW w:type="dxa" w:w="57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OpenAI closes new round at $852B post-money; Saudi PIF, MGX, and SoftBank lead. Sets new ceiling for frontier-lab valuations and provides funding runway through 2027 capex commitments.</w:t>
            </w:r>
          </w:p>
        </w:tc>
      </w:tr>
      <w:tr>
        <w:trPr>
          <w:tblHeader w:val="false"/>
        </w:trPr>
        <w:tc>
          <w:tcPr>
            <w:tcW w:type="dxa" w:w="16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Feb 2026</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Primary</w:t>
            </w:r>
          </w:p>
        </w:tc>
        <w:tc>
          <w:tcPr>
            <w:tcW w:type="dxa" w:w="57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Anthropic completes round at $380B post-money led by Coatue. Secondary market subsequently marks Anthropic at $1T equivalent, with $800B+ VC bids being declined. Read-through: scarcity premium for high-quality AI exposure.</w:t>
            </w:r>
          </w:p>
        </w:tc>
      </w:tr>
      <w:tr>
        <w:trPr>
          <w:tblHeader w:val="false"/>
        </w:trPr>
        <w:tc>
          <w:tcPr>
            <w:tcW w:type="dxa" w:w="16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Apr 2026</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Secondary</w:t>
            </w:r>
          </w:p>
        </w:tc>
        <w:tc>
          <w:tcPr>
            <w:tcW w:type="dxa" w:w="57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Robinhood Ventures Fund I purchases $75M of OpenAI common stock from secondary market and packages it for retail tradable ticker. Marks the deepest democratization yet of pre-IPO frontier-lab access.</w:t>
            </w:r>
          </w:p>
        </w:tc>
      </w:tr>
      <w:tr>
        <w:trPr>
          <w:tblHeader w:val="false"/>
        </w:trPr>
        <w:tc>
          <w:tcPr>
            <w:tcW w:type="dxa" w:w="16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Apr 22, 2026</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Primary</w:t>
            </w:r>
          </w:p>
        </w:tc>
        <w:tc>
          <w:tcPr>
            <w:tcW w:type="dxa" w:w="57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AngelList USVC launches with $500 minimum, non-accredited eligibility, 1% management fee, and no carry. Holdings disclosed: xAI (largest), OpenAI, Anthropic, plus four others. Material structural shift in retail access economics.</w:t>
            </w:r>
          </w:p>
        </w:tc>
      </w:tr>
      <w:tr>
        <w:trPr>
          <w:tblHeader w:val="false"/>
        </w:trPr>
        <w:tc>
          <w:tcPr>
            <w:tcW w:type="dxa" w:w="16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Q1 2026</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Macro</w:t>
            </w:r>
          </w:p>
        </w:tc>
        <w:tc>
          <w:tcPr>
            <w:tcW w:type="dxa" w:w="57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Q1 global VC: ~$290B aggregate; OpenAI + Anthropic + xAI + Waymo absorb ~65% ($188B). AI share of total VC jumps from ~55% to ~81% QoQ — most concentrated allocation cycle on record.</w:t>
            </w:r>
          </w:p>
        </w:tc>
      </w:tr>
      <w:tr>
        <w:trPr>
          <w:tblHeader w:val="false"/>
        </w:trPr>
        <w:tc>
          <w:tcPr>
            <w:tcW w:type="dxa" w:w="16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Mar 2026</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Public</w:t>
            </w:r>
          </w:p>
        </w:tc>
        <w:tc>
          <w:tcPr>
            <w:tcW w:type="dxa" w:w="57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SK Hynix (000660.KS) reports Q4 2025 with HBM revenue +112% YoY and confirms entire 2026 HBM capacity allocated. Stock +18% post-print; reset of consensus 2026 EPS.</w:t>
            </w:r>
          </w:p>
        </w:tc>
      </w:tr>
      <w:tr>
        <w:trPr>
          <w:tblHeader w:val="false"/>
        </w:trPr>
        <w:tc>
          <w:tcPr>
            <w:tcW w:type="dxa" w:w="16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Feb 2026</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Public</w:t>
            </w:r>
          </w:p>
        </w:tc>
        <w:tc>
          <w:tcPr>
            <w:tcW w:type="dxa" w:w="57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Sandisk (SNDK) completes 12-month post-WD spin period; first standalone analyst day held in March 2026. Standalone NAND pure-play now investable; ~14% NAND share, 60/40 retail/enterprise mix.</w:t>
            </w:r>
          </w:p>
        </w:tc>
      </w:tr>
    </w:tbl>
    <w:p>
      <w:pPr>
        <w:spacing w:after="120" w:before="0"/>
      </w:pPr>
      <w:r>
        <w:t xml:space="preserve"/>
      </w:r>
    </w:p>
    <w:p>
      <w:pPr>
        <w:pStyle w:val="Heading2"/>
        <w:spacing w:after="160" w:before="280"/>
      </w:pPr>
      <w:r>
        <w:rPr>
          <w:rFonts w:ascii="Arial" w:cs="Arial" w:eastAsia="Arial" w:hAnsi="Arial"/>
          <w:b/>
          <w:bCs/>
          <w:color w:val="1B4F8C"/>
          <w:sz w:val="26"/>
          <w:szCs w:val="26"/>
        </w:rPr>
        <w:t xml:space="preserve">10.2 Model Release Catalysts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5760"/>
      </w:tblGrid>
      <w:tr>
        <w:trPr>
          <w:tblHeader/>
        </w:trPr>
        <w:tc>
          <w:tcPr>
            <w:tcW w:type="dxa" w:w="16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Date</w:t>
            </w:r>
          </w:p>
        </w:tc>
        <w:tc>
          <w:tcPr>
            <w:tcW w:type="dxa" w:w="11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Camp</w:t>
            </w:r>
          </w:p>
        </w:tc>
        <w:tc>
          <w:tcPr>
            <w:tcW w:type="dxa" w:w="576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Event and Read-Through</w:t>
            </w:r>
          </w:p>
        </w:tc>
      </w:tr>
      <w:tr>
        <w:trPr>
          <w:tblHeader w:val="false"/>
        </w:trPr>
        <w:tc>
          <w:tcPr>
            <w:tcW w:type="dxa" w:w="16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Feb 2026</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Closed</w:t>
            </w:r>
          </w:p>
        </w:tc>
        <w:tc>
          <w:tcPr>
            <w:tcW w:type="dxa" w:w="57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Anthropic releases Claude Opus 4.6 with integrated reasoning routing and Project Glasswing pilot launch (~50 enterprise / sovereign customers, restricted distribution). First explicit enterprise-tier separation by Anthropic — strategic shift toward tiered enterprise pricing.</w:t>
            </w:r>
          </w:p>
        </w:tc>
      </w:tr>
      <w:tr>
        <w:trPr>
          <w:tblHeader w:val="false"/>
        </w:trPr>
        <w:tc>
          <w:tcPr>
            <w:tcW w:type="dxa" w:w="16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Mar 2026</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Closed</w:t>
            </w:r>
          </w:p>
        </w:tc>
        <w:tc>
          <w:tcPr>
            <w:tcW w:type="dxa" w:w="57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OpenAI releases GPT-5.4 with adaptive thinking budget. Materially shifts compute-per-query distribution upward for paid tier. Inference-cost pressure on OpenAI confirmed in subsequent Sam Altman comments on capex requirements.</w:t>
            </w:r>
          </w:p>
        </w:tc>
      </w:tr>
      <w:tr>
        <w:trPr>
          <w:tblHeader w:val="false"/>
        </w:trPr>
        <w:tc>
          <w:tcPr>
            <w:tcW w:type="dxa" w:w="16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Mar 2026</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Closed</w:t>
            </w:r>
          </w:p>
        </w:tc>
        <w:tc>
          <w:tcPr>
            <w:tcW w:type="dxa" w:w="57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Google DeepMind ships Gemini 3.1 Pro Deep Think with native tool-use across Workspace and Vertex. TPU v7 Ironwood pricing simultaneously cut ~20%.</w:t>
            </w:r>
          </w:p>
        </w:tc>
      </w:tr>
      <w:tr>
        <w:trPr>
          <w:tblHeader w:val="false"/>
        </w:trPr>
        <w:tc>
          <w:tcPr>
            <w:tcW w:type="dxa" w:w="16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Apr 2026</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Open</w:t>
            </w:r>
          </w:p>
        </w:tc>
        <w:tc>
          <w:tcPr>
            <w:tcW w:type="dxa" w:w="57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MiniMax releases M2.5 with Hailuo-02 video model. M2.5 priced at $0.15/M input — undercuts DeepSeek by ~10%. MiniMax becomes new cost leader on the open-weight frontier.</w:t>
            </w:r>
          </w:p>
        </w:tc>
      </w:tr>
      <w:tr>
        <w:trPr>
          <w:tblHeader w:val="false"/>
        </w:trPr>
        <w:tc>
          <w:tcPr>
            <w:tcW w:type="dxa" w:w="16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Apr 2026</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Open</w:t>
            </w:r>
          </w:p>
        </w:tc>
        <w:tc>
          <w:tcPr>
            <w:tcW w:type="dxa" w:w="57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Tencent releases Hunyuan-Open 389B (52B active) under permissive license. Strategic confirmation of Tencent's hybrid-stack approach — closed Hunyuan T1 retained for first-party WeChat integration.</w:t>
            </w:r>
          </w:p>
        </w:tc>
      </w:tr>
      <w:tr>
        <w:trPr>
          <w:tblHeader w:val="false"/>
        </w:trPr>
        <w:tc>
          <w:tcPr>
            <w:tcW w:type="dxa" w:w="16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Q2 2026 (exp)</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Open</w:t>
            </w:r>
          </w:p>
        </w:tc>
        <w:tc>
          <w:tcPr>
            <w:tcW w:type="dxa" w:w="57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DeepSeek V4 expected to ship on Huawei Ascend 950PR at $0.14–0.30/M tokens. First major frontier-grade open-weight release trained entirely on Chinese silicon — geopolitical and supply-chain inflection.</w:t>
            </w:r>
          </w:p>
        </w:tc>
      </w:tr>
      <w:tr>
        <w:trPr>
          <w:tblHeader w:val="false"/>
        </w:trPr>
        <w:tc>
          <w:tcPr>
            <w:tcW w:type="dxa" w:w="16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Apr 2026</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Open</w:t>
            </w:r>
          </w:p>
        </w:tc>
        <w:tc>
          <w:tcPr>
            <w:tcW w:type="dxa" w:w="57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Meta releases Llama 4.5 with native agentic tool-use; expected to remain free for commercial use under 700M MAU. No competitive pressure on Llama license relaxation despite Chinese cohort moving to Apache 2.0.</w:t>
            </w:r>
          </w:p>
        </w:tc>
      </w:tr>
      <w:tr>
        <w:trPr>
          <w:tblHeader w:val="false"/>
        </w:trPr>
        <w:tc>
          <w:tcPr>
            <w:tcW w:type="dxa" w:w="16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Q2 2026 (exp)</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Closed</w:t>
            </w:r>
          </w:p>
        </w:tc>
        <w:tc>
          <w:tcPr>
            <w:tcW w:type="dxa" w:w="57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Apple Intelligence v3 expected at WWDC 2026 with on-device reasoning. Continues hybrid-stack approach: on-device for privacy/latency, third-party (ChatGPT, Claude) for frontier capability.</w:t>
            </w:r>
          </w:p>
        </w:tc>
      </w:tr>
      <w:tr>
        <w:trPr>
          <w:tblHeader w:val="false"/>
        </w:trPr>
        <w:tc>
          <w:tcPr>
            <w:tcW w:type="dxa" w:w="16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Q2 2026 (exp)</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Open</w:t>
            </w:r>
          </w:p>
        </w:tc>
        <w:tc>
          <w:tcPr>
            <w:tcW w:type="dxa" w:w="57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Google Gemma 4 expected — Google's open-weight derivative of Gemini, multimodal-native. Repositions Google as a credible open-weight player alongside its closed flagship.</w:t>
            </w:r>
          </w:p>
        </w:tc>
      </w:tr>
    </w:tbl>
    <w:p>
      <w:pPr>
        <w:spacing w:after="120" w:before="0"/>
      </w:pPr>
      <w:r>
        <w:t xml:space="preserve"/>
      </w:r>
    </w:p>
    <w:p>
      <w:pPr>
        <w:pStyle w:val="Heading2"/>
        <w:spacing w:after="160" w:before="280"/>
      </w:pPr>
      <w:r>
        <w:rPr>
          <w:rFonts w:ascii="Arial" w:cs="Arial" w:eastAsia="Arial" w:hAnsi="Arial"/>
          <w:b/>
          <w:bCs/>
          <w:color w:val="1B4F8C"/>
          <w:sz w:val="26"/>
          <w:szCs w:val="26"/>
        </w:rPr>
        <w:t xml:space="preserve">10.3 Infrastructure and Supply Chain Catalysts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5760"/>
      </w:tblGrid>
      <w:tr>
        <w:trPr>
          <w:tblHeader/>
        </w:trPr>
        <w:tc>
          <w:tcPr>
            <w:tcW w:type="dxa" w:w="16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Date</w:t>
            </w:r>
          </w:p>
        </w:tc>
        <w:tc>
          <w:tcPr>
            <w:tcW w:type="dxa" w:w="11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Type</w:t>
            </w:r>
          </w:p>
        </w:tc>
        <w:tc>
          <w:tcPr>
            <w:tcW w:type="dxa" w:w="576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Event and Read-Through</w:t>
            </w:r>
          </w:p>
        </w:tc>
      </w:tr>
      <w:tr>
        <w:trPr>
          <w:tblHeader w:val="false"/>
        </w:trPr>
        <w:tc>
          <w:tcPr>
            <w:tcW w:type="dxa" w:w="16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Mar 2026</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Capex</w:t>
            </w:r>
          </w:p>
        </w:tc>
        <w:tc>
          <w:tcPr>
            <w:tcW w:type="dxa" w:w="57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Alphabet raises 2026 capex guidance to $185B, materially above $135B prior. Driven by TPU v7 buildout and incremental data-center campus construction. Read: GOOGL the most aggressive hyperscaler on AI capex in 2026.</w:t>
            </w:r>
          </w:p>
        </w:tc>
      </w:tr>
      <w:tr>
        <w:trPr>
          <w:tblHeader w:val="false"/>
        </w:trPr>
        <w:tc>
          <w:tcPr>
            <w:tcW w:type="dxa" w:w="16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Apr 2026</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Compute</w:t>
            </w:r>
          </w:p>
        </w:tc>
        <w:tc>
          <w:tcPr>
            <w:tcW w:type="dxa" w:w="57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Anthropic confirms multi-gigawatt TPU commitment with Google Cloud through 2027+, alongside continued AWS Trainium deployment. Reduces single-vendor dependency on NVIDIA at the largest pure-play closed-weight lab. Negative read for NVDA share at Anthropic specifically; positive for AVGO (TPU partner) and AMZN.</w:t>
            </w:r>
          </w:p>
        </w:tc>
      </w:tr>
      <w:tr>
        <w:trPr>
          <w:tblHeader w:val="false"/>
        </w:trPr>
        <w:tc>
          <w:tcPr>
            <w:tcW w:type="dxa" w:w="16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Mar 2026</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Packaging</w:t>
            </w:r>
          </w:p>
        </w:tc>
        <w:tc>
          <w:tcPr>
            <w:tcW w:type="dxa" w:w="57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TSMC confirms CoWoS capacity expansion +30% by YE26 to ~98K wafers/month equivalent; still sold out through mid-2026. Confirms structural advanced-packaging bottleneck.</w:t>
            </w:r>
          </w:p>
        </w:tc>
      </w:tr>
      <w:tr>
        <w:trPr>
          <w:tblHeader w:val="false"/>
        </w:trPr>
        <w:tc>
          <w:tcPr>
            <w:tcW w:type="dxa" w:w="16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Q2 2026 (exp)</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Memory</w:t>
            </w:r>
          </w:p>
        </w:tc>
        <w:tc>
          <w:tcPr>
            <w:tcW w:type="dxa" w:w="57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SK Hynix HBM4 sample-to-volume transition expected mid-2026 with TSMC 12nm base-die partnership. Maintains lead over Samsung (still working through HBM3E qualification issues at NVIDIA) and Micron (HBM4 ramp 2H26).</w:t>
            </w:r>
          </w:p>
        </w:tc>
      </w:tr>
      <w:tr>
        <w:trPr>
          <w:tblHeader w:val="false"/>
        </w:trPr>
        <w:tc>
          <w:tcPr>
            <w:tcW w:type="dxa" w:w="16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Apr 2026</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Power</w:t>
            </w:r>
          </w:p>
        </w:tc>
        <w:tc>
          <w:tcPr>
            <w:tcW w:type="dxa" w:w="57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Talen Energy announces dedicated 2GW supply agreement with hyperscaler customer. Continues theme of nuclear-baseload contracts as preferred AI data center power solution.</w:t>
            </w:r>
          </w:p>
        </w:tc>
      </w:tr>
      <w:tr>
        <w:trPr>
          <w:tblHeader w:val="false"/>
        </w:trPr>
        <w:tc>
          <w:tcPr>
            <w:tcW w:type="dxa" w:w="16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Q1 2026</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ASIC</w:t>
            </w:r>
          </w:p>
        </w:tc>
        <w:tc>
          <w:tcPr>
            <w:tcW w:type="dxa" w:w="57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Broadcom (AVGO) reports AI semi revenue +106% YoY; reiterates target of &gt;$100B custom AI chip revenue by 2027 across Google TPU, Meta MTIA, and one undisclosed hyperscaler customer.</w:t>
            </w:r>
          </w:p>
        </w:tc>
      </w:tr>
      <w:tr>
        <w:trPr>
          <w:tblHeader w:val="false"/>
        </w:trPr>
        <w:tc>
          <w:tcPr>
            <w:tcW w:type="dxa" w:w="16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Mar 2026</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China</w:t>
            </w:r>
          </w:p>
        </w:tc>
        <w:tc>
          <w:tcPr>
            <w:tcW w:type="dxa" w:w="57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Huawei confirms Ascend 950PR sampling to Chinese hyperscalers; Cambricon, Biren, and Moore Threads also accelerating. Confirms parallel-stack thesis: China is building duplicate AI infrastructure independent of NVIDIA.</w:t>
            </w:r>
          </w:p>
        </w:tc>
      </w:tr>
      <w:tr>
        <w:trPr>
          <w:tblHeader w:val="false"/>
        </w:trPr>
        <w:tc>
          <w:tcPr>
            <w:tcW w:type="dxa" w:w="16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Apr 2026</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Neocloud</w:t>
            </w:r>
          </w:p>
        </w:tc>
        <w:tc>
          <w:tcPr>
            <w:tcW w:type="dxa" w:w="57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CoreWeave (CRWV) signs incremental capacity agreement with Microsoft and reports backlog over $30B. NBIS (Nebius) reports Q1 with annualized revenue tracking ~$1.5B; Israeli AI-cluster expansion announced.</w:t>
            </w:r>
          </w:p>
        </w:tc>
      </w:tr>
    </w:tbl>
    <w:p>
      <w:pPr>
        <w:spacing w:after="120" w:before="0"/>
      </w:pPr>
      <w:r>
        <w:t xml:space="preserve"/>
      </w:r>
    </w:p>
    <w:p>
      <w:pPr>
        <w:pStyle w:val="Heading2"/>
        <w:spacing w:after="160" w:before="280"/>
      </w:pPr>
      <w:r>
        <w:rPr>
          <w:rFonts w:ascii="Arial" w:cs="Arial" w:eastAsia="Arial" w:hAnsi="Arial"/>
          <w:b/>
          <w:bCs/>
          <w:color w:val="1B4F8C"/>
          <w:sz w:val="26"/>
          <w:szCs w:val="26"/>
        </w:rPr>
        <w:t xml:space="preserve">10.4 Forward Catalyst Calendar (Q2–Q3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560"/>
      </w:tblGrid>
      <w:tr>
        <w:trPr>
          <w:tblHeader/>
        </w:trPr>
        <w:tc>
          <w:tcPr>
            <w:tcW w:type="dxa" w:w="19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Window</w:t>
            </w:r>
          </w:p>
        </w:tc>
        <w:tc>
          <w:tcPr>
            <w:tcW w:type="dxa" w:w="19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Catalyst</w:t>
            </w:r>
          </w:p>
        </w:tc>
        <w:tc>
          <w:tcPr>
            <w:tcW w:type="dxa" w:w="556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What to Watch</w:t>
            </w:r>
          </w:p>
        </w:tc>
      </w:tr>
      <w:tr>
        <w:trPr>
          <w:tblHeader w:val="false"/>
        </w:trPr>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May 2026</w:t>
            </w:r>
          </w:p>
        </w:tc>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NVDA Q1 FY27 earnings</w:t>
            </w:r>
          </w:p>
        </w:tc>
        <w:tc>
          <w:tcPr>
            <w:tcW w:type="dxa" w:w="55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Vera Rubin shipment ramp commentary; CoWoS allocation guidance; commentary on Anthropic TPU shift; gross margin defense versus mix shift to inference SKUs</w:t>
            </w:r>
          </w:p>
        </w:tc>
      </w:tr>
      <w:tr>
        <w:trPr>
          <w:tblHeader w:val="false"/>
        </w:trPr>
        <w:tc>
          <w:tcPr>
            <w:tcW w:type="dxa" w:w="19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May 2026</w:t>
            </w:r>
          </w:p>
        </w:tc>
        <w:tc>
          <w:tcPr>
            <w:tcW w:type="dxa" w:w="19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Microsoft Build 2026</w:t>
            </w:r>
          </w:p>
        </w:tc>
        <w:tc>
          <w:tcPr>
            <w:tcW w:type="dxa" w:w="55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MAI-1 frontier-model unveiling expected; Azure Stack AI updates; OpenAI partnership re-articulation post the IPO restructuring discussions</w:t>
            </w:r>
          </w:p>
        </w:tc>
      </w:tr>
      <w:tr>
        <w:trPr>
          <w:tblHeader w:val="false"/>
        </w:trPr>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Jun 2026</w:t>
            </w:r>
          </w:p>
        </w:tc>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Apple WWDC 2026</w:t>
            </w:r>
          </w:p>
        </w:tc>
        <w:tc>
          <w:tcPr>
            <w:tcW w:type="dxa" w:w="55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Apple Intelligence v3; on-device reasoning; expanded third-party model partnerships (ChatGPT, Claude, possibly Gemini); MLX framework v2</w:t>
            </w:r>
          </w:p>
        </w:tc>
      </w:tr>
      <w:tr>
        <w:trPr>
          <w:tblHeader w:val="false"/>
        </w:trPr>
        <w:tc>
          <w:tcPr>
            <w:tcW w:type="dxa" w:w="19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Jun 2026</w:t>
            </w:r>
          </w:p>
        </w:tc>
        <w:tc>
          <w:tcPr>
            <w:tcW w:type="dxa" w:w="19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Google I/O follow-on</w:t>
            </w:r>
          </w:p>
        </w:tc>
        <w:tc>
          <w:tcPr>
            <w:tcW w:type="dxa" w:w="55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TPU v7 expanded availability to external customers (key for AVGO read-through); Gemma 4 release; Vertex pricing actions</w:t>
            </w:r>
          </w:p>
        </w:tc>
      </w:tr>
      <w:tr>
        <w:trPr>
          <w:tblHeader w:val="false"/>
        </w:trPr>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Q2 2026</w:t>
            </w:r>
          </w:p>
        </w:tc>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DeepSeek V4 release</w:t>
            </w:r>
          </w:p>
        </w:tc>
        <w:tc>
          <w:tcPr>
            <w:tcW w:type="dxa" w:w="55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Huawei Ascend 950PR confirmation; pricing announcement; benchmark validation versus GPT-5.4 / Claude Opus 4.6 / Gemini 3.1 Pro</w:t>
            </w:r>
          </w:p>
        </w:tc>
      </w:tr>
      <w:tr>
        <w:trPr>
          <w:tblHeader w:val="false"/>
        </w:trPr>
        <w:tc>
          <w:tcPr>
            <w:tcW w:type="dxa" w:w="19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Q2 2026</w:t>
            </w:r>
          </w:p>
        </w:tc>
        <w:tc>
          <w:tcPr>
            <w:tcW w:type="dxa" w:w="19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SK Hynix HBM4 ramp</w:t>
            </w:r>
          </w:p>
        </w:tc>
        <w:tc>
          <w:tcPr>
            <w:tcW w:type="dxa" w:w="55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Confirmation of TSMC 12nm base-die yields; NVIDIA Vera Rubin design-in confirmation; Samsung HBM3E qualification status update</w:t>
            </w:r>
          </w:p>
        </w:tc>
      </w:tr>
      <w:tr>
        <w:trPr>
          <w:tblHeader w:val="false"/>
        </w:trPr>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Q2 2026</w:t>
            </w:r>
          </w:p>
        </w:tc>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OpenAI restructuring</w:t>
            </w:r>
          </w:p>
        </w:tc>
        <w:tc>
          <w:tcPr>
            <w:tcW w:type="dxa" w:w="55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Final IPO timing signal; commercial/non-profit governance structure; Microsoft revenue-share revision (currently 20% through 2032)</w:t>
            </w:r>
          </w:p>
        </w:tc>
      </w:tr>
      <w:tr>
        <w:trPr>
          <w:tblHeader w:val="false"/>
        </w:trPr>
        <w:tc>
          <w:tcPr>
            <w:tcW w:type="dxa" w:w="19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Q3 2026</w:t>
            </w:r>
          </w:p>
        </w:tc>
        <w:tc>
          <w:tcPr>
            <w:tcW w:type="dxa" w:w="19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Anthropic Series G or strategic round</w:t>
            </w:r>
          </w:p>
        </w:tc>
        <w:tc>
          <w:tcPr>
            <w:tcW w:type="dxa" w:w="55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Reported $1T+ valuation talks; sovereign capital participation (UAE, Saudi); enterprise revenue disclosure update</w:t>
            </w:r>
          </w:p>
        </w:tc>
      </w:tr>
      <w:tr>
        <w:trPr>
          <w:tblHeader w:val="false"/>
        </w:trPr>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Q3 2026</w:t>
            </w:r>
          </w:p>
        </w:tc>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Hyperscaler Q2 2026 prints</w:t>
            </w:r>
          </w:p>
        </w:tc>
        <w:tc>
          <w:tcPr>
            <w:tcW w:type="dxa" w:w="55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First clean read on whether 2026 capex guides hold; commentary on AI revenue translation; commentary on power/grid buildout pace</w:t>
            </w:r>
          </w:p>
        </w:tc>
      </w:tr>
      <w:tr>
        <w:trPr>
          <w:tblHeader w:val="false"/>
        </w:trPr>
        <w:tc>
          <w:tcPr>
            <w:tcW w:type="dxa" w:w="19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Q3 2026</w:t>
            </w:r>
          </w:p>
        </w:tc>
        <w:tc>
          <w:tcPr>
            <w:tcW w:type="dxa" w:w="19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TSMC Q2 results</w:t>
            </w:r>
          </w:p>
        </w:tc>
        <w:tc>
          <w:tcPr>
            <w:tcW w:type="dxa" w:w="55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2nm yield ramp commentary; CoWoS capacity update; HBM supply commentary; 2026 capex final number ($52–56B range)</w:t>
            </w:r>
          </w:p>
        </w:tc>
      </w:tr>
      <w:tr>
        <w:trPr>
          <w:tblHeader w:val="false"/>
        </w:trPr>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Q3 2026</w:t>
            </w:r>
          </w:p>
        </w:tc>
        <w:tc>
          <w:tcPr>
            <w:tcW w:type="dxa" w:w="19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Sandisk standalone Q2</w:t>
            </w:r>
          </w:p>
        </w:tc>
        <w:tc>
          <w:tcPr>
            <w:tcW w:type="dxa" w:w="55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First clean comparable as standalone; enterprise SSD pricing trajectory; AI-server SSD attach rates</w:t>
            </w:r>
          </w:p>
        </w:tc>
      </w:tr>
    </w:tbl>
    <w:p>
      <w:pPr>
        <w:spacing w:after="120" w:before="0"/>
      </w:pPr>
      <w:r>
        <w:t xml:space="preserve"/>
      </w:r>
    </w:p>
    <w:p>
      <w:pPr>
        <w:spacing w:after="120" w:before="0" w:line="280"/>
        <w:jc w:val="both"/>
      </w:pPr>
      <w:r>
        <w:rPr>
          <w:rFonts w:ascii="Arial" w:cs="Arial" w:eastAsia="Arial" w:hAnsi="Arial"/>
          <w:b w:val="false"/>
          <w:bCs w:val="false"/>
          <w:i w:val="false"/>
          <w:iCs w:val="false"/>
          <w:color w:val="1D2939"/>
          <w:sz w:val="20"/>
          <w:szCs w:val="20"/>
        </w:rPr>
        <w:t xml:space="preserve">The desk's primary near-term catalysts are NVDA Q1 FY27 (vehicle for the entire compute thesis), the DeepSeek V4 release on Huawei silicon (vehicle for the parallel-stack thesis), and the SK Hynix HBM4 ramp (vehicle for the memory thesis). Apple WWDC is a secondary catalyst that we expect to validate the local-AI hardware thesis. The Anthropic Series G — if it lands at the $1T+ valuation being floated in secondaries — will be the cleanest data point for the closed-weight enterprise thesis since the Microsoft-OpenAI structuring discussions of late 2025.</w:t>
      </w:r>
    </w:p>
    <w:p>
      <w:r>
        <w:br w:type="page"/>
      </w:r>
    </w:p>
    <w:p>
      <w:pPr>
        <w:pStyle w:val="Heading1"/>
        <w:spacing w:after="200" w:before="360"/>
      </w:pPr>
      <w:r>
        <w:rPr>
          <w:rFonts w:ascii="Arial" w:cs="Arial" w:eastAsia="Arial" w:hAnsi="Arial"/>
          <w:b/>
          <w:bCs/>
          <w:color w:val="0B2545"/>
          <w:sz w:val="32"/>
          <w:szCs w:val="32"/>
        </w:rPr>
        <w:t xml:space="preserve">11. Summary and Desk Recommendations</w:t>
      </w:r>
    </w:p>
    <w:p>
      <w:pPr>
        <w:spacing w:after="120" w:before="0" w:line="280"/>
        <w:jc w:val="both"/>
      </w:pPr>
      <w:r>
        <w:rPr>
          <w:rFonts w:ascii="Arial" w:cs="Arial" w:eastAsia="Arial" w:hAnsi="Arial"/>
          <w:b w:val="false"/>
          <w:bCs w:val="false"/>
          <w:i w:val="false"/>
          <w:iCs w:val="false"/>
          <w:color w:val="1D2939"/>
          <w:sz w:val="20"/>
          <w:szCs w:val="20"/>
        </w:rPr>
        <w:t xml:space="preserve">The v2 expansion of this report has broadened our coverage to include the full Chinese open-weight cohort, the agentic runtime layer, the local-AI hardware tier (Apple), and a substantially deeper treatment of the GPU/TPU debate, the neocloud landscape, and the HBM/NAND memory complex. This concluding section consolidates the desk's positioning recommendations into a single rated table, organized by exposure category, with rationale and key risk for each name.</w:t>
      </w:r>
    </w:p>
    <w:p>
      <w:pPr>
        <w:pStyle w:val="Heading2"/>
        <w:spacing w:after="160" w:before="280"/>
      </w:pPr>
      <w:r>
        <w:rPr>
          <w:rFonts w:ascii="Arial" w:cs="Arial" w:eastAsia="Arial" w:hAnsi="Arial"/>
          <w:b/>
          <w:bCs/>
          <w:color w:val="1B4F8C"/>
          <w:sz w:val="26"/>
          <w:szCs w:val="26"/>
        </w:rPr>
        <w:t xml:space="preserve">11.1 Synthesis of the Investment Framework</w:t>
      </w:r>
    </w:p>
    <w:p>
      <w:pPr>
        <w:spacing w:after="120" w:before="0" w:line="280"/>
        <w:jc w:val="both"/>
      </w:pPr>
      <w:r>
        <w:rPr>
          <w:rFonts w:ascii="Arial" w:cs="Arial" w:eastAsia="Arial" w:hAnsi="Arial"/>
          <w:b w:val="false"/>
          <w:bCs w:val="false"/>
          <w:i w:val="false"/>
          <w:iCs w:val="false"/>
          <w:color w:val="1D2939"/>
          <w:sz w:val="20"/>
          <w:szCs w:val="20"/>
        </w:rPr>
        <w:t xml:space="preserve">Our central conviction has not changed since the v1 note: the AI investment opportunity is widest, deepest, and most supply-constrained at the picks-and-shovels layer of the stack. Compute, advanced packaging, HBM, power, and AI-dedicated cloud capacity are all capacity-rationed through at least 2026 and arguably through 2027. The model layer remains a winner-take-most market for closed-weight frontier labs (OpenAI, Anthropic, Google), but the per-token economics are deflating faster than most consensus models account for, and the open-weight cohort — particularly the Chinese cohort — is structurally compressing the price ceiling on closed-weight inference.</w:t>
      </w:r>
    </w:p>
    <w:p>
      <w:pPr>
        <w:spacing w:after="120" w:before="0" w:line="280"/>
        <w:jc w:val="both"/>
      </w:pPr>
      <w:r>
        <w:rPr>
          <w:rFonts w:ascii="Arial" w:cs="Arial" w:eastAsia="Arial" w:hAnsi="Arial"/>
          <w:b w:val="false"/>
          <w:bCs w:val="false"/>
          <w:i w:val="false"/>
          <w:iCs w:val="false"/>
          <w:color w:val="1D2939"/>
          <w:sz w:val="20"/>
          <w:szCs w:val="20"/>
        </w:rPr>
        <w:t xml:space="preserve">The v2 additions sharpen four specific recommendations relative to v1: (a) Apple is upgraded to Tactical Overweight on the local-AI hardware thesis, which the v1 note did not capture; (b) Sandisk is added as a new Overweight on the NAND pure-play thesis post the WD spin; (c) the neocloud tier is initiated with Overweight on CRWV and NBIS, and Market Weight on APLD; (d) Tencent is highlighted as the cleanest single-name proxy for Chinese AI exposure for Western allocators, accessible via 0700.HK directly or via Naspers/Prosus pass-through at a structural NAV discount.</w:t>
      </w:r>
    </w:p>
    <w:p>
      <w:pPr>
        <w:pStyle w:val="Heading2"/>
        <w:spacing w:after="160" w:before="280"/>
      </w:pPr>
      <w:r>
        <w:rPr>
          <w:rFonts w:ascii="Arial" w:cs="Arial" w:eastAsia="Arial" w:hAnsi="Arial"/>
          <w:b/>
          <w:bCs/>
          <w:color w:val="1B4F8C"/>
          <w:sz w:val="26"/>
          <w:szCs w:val="26"/>
        </w:rPr>
        <w:t xml:space="preserve">11.2 Consolidated Rating Table</w:t>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200"/>
        <w:gridCol w:w="4060"/>
      </w:tblGrid>
      <w:tr>
        <w:trPr>
          <w:tblHeader/>
        </w:trPr>
        <w:tc>
          <w:tcPr>
            <w:tcW w:type="dxa" w:w="17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Name</w:t>
            </w:r>
          </w:p>
        </w:tc>
        <w:tc>
          <w:tcPr>
            <w:tcW w:type="dxa" w:w="11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Ticker</w:t>
            </w:r>
          </w:p>
        </w:tc>
        <w:tc>
          <w:tcPr>
            <w:tcW w:type="dxa" w:w="120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Rating</w:t>
            </w:r>
          </w:p>
        </w:tc>
        <w:tc>
          <w:tcPr>
            <w:tcW w:type="dxa" w:w="4060"/>
            <w:tcBorders>
              <w:top w:val="single" w:color="D0D5DD" w:sz="4"/>
              <w:left w:val="single" w:color="D0D5DD" w:sz="4"/>
              <w:bottom w:val="single" w:color="D0D5DD" w:sz="4"/>
              <w:right w:val="single" w:color="D0D5DD" w:sz="4"/>
            </w:tcBorders>
            <w:shd w:fill="1B4F8C" w:val="clear"/>
            <w:tcMar>
              <w:top w:type="dxa" w:w="100"/>
              <w:left w:type="dxa" w:w="140"/>
              <w:bottom w:type="dxa" w:w="100"/>
              <w:right w:type="dxa" w:w="140"/>
            </w:tcMar>
            <w:vAlign w:val="center"/>
          </w:tcPr>
          <w:p>
            <w:pPr>
              <w:spacing w:after="0" w:before="0" w:line="240"/>
              <w:jc w:val="left"/>
            </w:pPr>
            <w:r>
              <w:rPr>
                <w:rFonts w:ascii="Arial" w:cs="Arial" w:eastAsia="Arial" w:hAnsi="Arial"/>
                <w:b/>
                <w:bCs/>
                <w:color w:val="FFFFFF"/>
                <w:sz w:val="18"/>
                <w:szCs w:val="18"/>
              </w:rPr>
              <w:t xml:space="preserve">Rationale and Key Risk</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NVIDIA</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NVDA</w:t>
            </w:r>
          </w:p>
        </w:tc>
        <w:tc>
          <w:tcPr>
            <w:tcW w:type="dxa" w:w="1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w:t>
            </w:r>
          </w:p>
        </w:tc>
        <w:tc>
          <w:tcPr>
            <w:tcW w:type="dxa" w:w="40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Holds majority of TSMC CoWoS allocation; Vera Rubin ramp 2026; ~90% data-center AI training share. Risk: hyperscaler insourcing via custom ASIC; Anthropic TPU shift indicative.</w:t>
            </w:r>
          </w:p>
        </w:tc>
      </w:tr>
      <w:tr>
        <w:trPr>
          <w:tblHeader w:val="false"/>
        </w:trPr>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TSMC</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TSM</w:t>
            </w:r>
          </w:p>
        </w:tc>
        <w:tc>
          <w:tcPr>
            <w:tcW w:type="dxa" w:w="1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w:t>
            </w:r>
          </w:p>
        </w:tc>
        <w:tc>
          <w:tcPr>
            <w:tcW w:type="dxa" w:w="40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Sole-supplier on advanced-node AI silicon for NVDA, AMD, AAPL, AVGO, GOOGL. 2nm booked through 2028; 30% CoWoS expansion by YE26. Risk: geopolitical (Taiwan straits).</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ASML</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ASML</w:t>
            </w:r>
          </w:p>
        </w:tc>
        <w:tc>
          <w:tcPr>
            <w:tcW w:type="dxa" w:w="1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w:t>
            </w:r>
          </w:p>
        </w:tc>
        <w:tc>
          <w:tcPr>
            <w:tcW w:type="dxa" w:w="40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Sole supplier of EUV and High-NA EUV. €36B backlog; ~6–8 High-NA shipments modeled for 2026 at ~$380M each. Risk: cyclical equipment demand; China sales restrictions.</w:t>
            </w:r>
          </w:p>
        </w:tc>
      </w:tr>
      <w:tr>
        <w:trPr>
          <w:tblHeader w:val="false"/>
        </w:trPr>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SK Hynix</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000660.KS</w:t>
            </w:r>
          </w:p>
        </w:tc>
        <w:tc>
          <w:tcPr>
            <w:tcW w:type="dxa" w:w="1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w:t>
            </w:r>
          </w:p>
        </w:tc>
        <w:tc>
          <w:tcPr>
            <w:tcW w:type="dxa" w:w="40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~62% HBM share; ~90% of NVDA HBM; entire 2026 HBM capacity allocated; HBM4 lead with TSMC 12nm base-die. Single most-leveraged name to AI memory thesis.</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Micron</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MU</w:t>
            </w:r>
          </w:p>
        </w:tc>
        <w:tc>
          <w:tcPr>
            <w:tcW w:type="dxa" w:w="1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w:t>
            </w:r>
          </w:p>
        </w:tc>
        <w:tc>
          <w:tcPr>
            <w:tcW w:type="dxa" w:w="40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HBM4 ramp 2H26; ~21% HBM share; broad DRAM/NAND exposure benefits from full memory cycle upturn. Risk: NAND pricing volatility independent of HBM.</w:t>
            </w:r>
          </w:p>
        </w:tc>
      </w:tr>
      <w:tr>
        <w:trPr>
          <w:tblHeader w:val="false"/>
        </w:trPr>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Samsung Elec.</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005930.KS</w:t>
            </w:r>
          </w:p>
        </w:tc>
        <w:tc>
          <w:tcPr>
            <w:tcW w:type="dxa" w:w="1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Market Weight</w:t>
            </w:r>
          </w:p>
        </w:tc>
        <w:tc>
          <w:tcPr>
            <w:tcW w:type="dxa" w:w="40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Largest memory player but losing HBM share (~17–20% currently); HBM3E qualification at NVIDIA still fluid. Diversified end markets dampen pure-play AI leverage.</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Sandisk</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SNDK</w:t>
            </w:r>
          </w:p>
        </w:tc>
        <w:tc>
          <w:tcPr>
            <w:tcW w:type="dxa" w:w="1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 (NEW)</w:t>
            </w:r>
          </w:p>
        </w:tc>
        <w:tc>
          <w:tcPr>
            <w:tcW w:type="dxa" w:w="40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First standalone NAND pure-play post-WD spin (Feb 2025); ~14% NAND share; AI-server SSD attach rates rising; enterprise pricing firming. Risk: NAND remains structurally cyclical.</w:t>
            </w:r>
          </w:p>
        </w:tc>
      </w:tr>
      <w:tr>
        <w:trPr>
          <w:tblHeader w:val="false"/>
        </w:trPr>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Broadcom</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AVGO</w:t>
            </w:r>
          </w:p>
        </w:tc>
        <w:tc>
          <w:tcPr>
            <w:tcW w:type="dxa" w:w="1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w:t>
            </w:r>
          </w:p>
        </w:tc>
        <w:tc>
          <w:tcPr>
            <w:tcW w:type="dxa" w:w="40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Custom ASIC partner for Google TPU, Meta MTIA, plus undisclosed third hyperscaler. AI semi rev +106% YoY; $100B+ AI chip revenue target by 2027. Risk: customer concentration.</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Marvell</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MRVL</w:t>
            </w:r>
          </w:p>
        </w:tc>
        <w:tc>
          <w:tcPr>
            <w:tcW w:type="dxa" w:w="1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Market Weight</w:t>
            </w:r>
          </w:p>
        </w:tc>
        <w:tc>
          <w:tcPr>
            <w:tcW w:type="dxa" w:w="40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Custom ASIC and AI networking play; smaller scale than AVGO. Watch for incremental hyperscaler design wins.</w:t>
            </w:r>
          </w:p>
        </w:tc>
      </w:tr>
      <w:tr>
        <w:trPr>
          <w:tblHeader w:val="false"/>
        </w:trPr>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AMD</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AMD</w:t>
            </w:r>
          </w:p>
        </w:tc>
        <w:tc>
          <w:tcPr>
            <w:tcW w:type="dxa" w:w="1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Market Weight</w:t>
            </w:r>
          </w:p>
        </w:tc>
        <w:tc>
          <w:tcPr>
            <w:tcW w:type="dxa" w:w="40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MI400 ramp 2026; OpenAI deal validated competitive position but trails NVDA on software ecosystem (ROCm vs. CUDA). Optionality, not core.</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Microsoft</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MSFT</w:t>
            </w:r>
          </w:p>
        </w:tc>
        <w:tc>
          <w:tcPr>
            <w:tcW w:type="dxa" w:w="1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w:t>
            </w:r>
          </w:p>
        </w:tc>
        <w:tc>
          <w:tcPr>
            <w:tcW w:type="dxa" w:w="40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27% OpenAI equity + 20% rev-share through 2032 = cleanest public OpenAI proxy. Azure AI tailwind; MAI-1 first-party model launching. Risk: OpenAI restructuring revisions.</w:t>
            </w:r>
          </w:p>
        </w:tc>
      </w:tr>
      <w:tr>
        <w:trPr>
          <w:tblHeader w:val="false"/>
        </w:trPr>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Alphabet</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GOOGL</w:t>
            </w:r>
          </w:p>
        </w:tc>
        <w:tc>
          <w:tcPr>
            <w:tcW w:type="dxa" w:w="1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w:t>
            </w:r>
          </w:p>
        </w:tc>
        <w:tc>
          <w:tcPr>
            <w:tcW w:type="dxa" w:w="40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Triple-vector exposure: Gemini (closed flagship), TPU (Anthropic and external sales), Anthropic equity stake. 2026 capex up to $185B confirms commitment.</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Amazon</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AMZN</w:t>
            </w:r>
          </w:p>
        </w:tc>
        <w:tc>
          <w:tcPr>
            <w:tcW w:type="dxa" w:w="1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w:t>
            </w:r>
          </w:p>
        </w:tc>
        <w:tc>
          <w:tcPr>
            <w:tcW w:type="dxa" w:w="40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AWS remains largest cloud beneficiary; $25B Anthropic commitment + 2GW Trainium. Risk: AWS AI mind-share lagging Azure / GCP at frontier.</w:t>
            </w:r>
          </w:p>
        </w:tc>
      </w:tr>
      <w:tr>
        <w:trPr>
          <w:tblHeader w:val="false"/>
        </w:trPr>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Meta</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META</w:t>
            </w:r>
          </w:p>
        </w:tc>
        <w:tc>
          <w:tcPr>
            <w:tcW w:type="dxa" w:w="1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Market Weight</w:t>
            </w:r>
          </w:p>
        </w:tc>
        <w:tc>
          <w:tcPr>
            <w:tcW w:type="dxa" w:w="40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Llama 4.5 frontier-grade open-weight, but no direct monetization. Capex burden rising without commensurate near-term revenue translation.</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Apple</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AAPL</w:t>
            </w:r>
          </w:p>
        </w:tc>
        <w:tc>
          <w:tcPr>
            <w:tcW w:type="dxa" w:w="1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Tactical Overweight (NEW)</w:t>
            </w:r>
          </w:p>
        </w:tc>
        <w:tc>
          <w:tcPr>
            <w:tcW w:type="dxa" w:w="40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Mac Studio M3 Ultra + 512GB unified = de facto local-AI reference platform; MLX framework adoption rising. Hardware vector v1 missed. Risk: Apple Intelligence first-party model remains weak.</w:t>
            </w:r>
          </w:p>
        </w:tc>
      </w:tr>
      <w:tr>
        <w:trPr>
          <w:tblHeader w:val="false"/>
        </w:trPr>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Oracle</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ORCL</w:t>
            </w:r>
          </w:p>
        </w:tc>
        <w:tc>
          <w:tcPr>
            <w:tcW w:type="dxa" w:w="1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w:t>
            </w:r>
          </w:p>
        </w:tc>
        <w:tc>
          <w:tcPr>
            <w:tcW w:type="dxa" w:w="40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OCI gen-2 capacity backlog ~$130B+; OpenAI Stargate primary partner; aggressive 2026–27 capacity ramp. Risk: hyperscaler-grade execution remains unproven at OCI scale.</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CoreWeave</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CRWV</w:t>
            </w:r>
          </w:p>
        </w:tc>
        <w:tc>
          <w:tcPr>
            <w:tcW w:type="dxa" w:w="1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 (NEW)</w:t>
            </w:r>
          </w:p>
        </w:tc>
        <w:tc>
          <w:tcPr>
            <w:tcW w:type="dxa" w:w="40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Backlog $30B+; NVIDIA-aligned capacity provider; Microsoft + OpenAI anchor customers. Risk: customer concentration; debt-funded buildout.</w:t>
            </w:r>
          </w:p>
        </w:tc>
      </w:tr>
      <w:tr>
        <w:trPr>
          <w:tblHeader w:val="false"/>
        </w:trPr>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Nebius</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NBIS</w:t>
            </w:r>
          </w:p>
        </w:tc>
        <w:tc>
          <w:tcPr>
            <w:tcW w:type="dxa" w:w="1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 (NEW)</w:t>
            </w:r>
          </w:p>
        </w:tc>
        <w:tc>
          <w:tcPr>
            <w:tcW w:type="dxa" w:w="40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European neocloud pure-play; Q1 ARR ~$1.5B; Israeli expansion underway. Cleanest NVIDIA-aligned non-U.S. exposure. Risk: smaller scale, less customer disclosure.</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Applied Digital</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APLD</w:t>
            </w:r>
          </w:p>
        </w:tc>
        <w:tc>
          <w:tcPr>
            <w:tcW w:type="dxa" w:w="1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Market Weight (NEW)</w:t>
            </w:r>
          </w:p>
        </w:tc>
        <w:tc>
          <w:tcPr>
            <w:tcW w:type="dxa" w:w="40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Vertically integrated power-and-rack operator; smaller scale; more speculative. Optionality on AI data-center development thesis.</w:t>
            </w:r>
          </w:p>
        </w:tc>
      </w:tr>
      <w:tr>
        <w:trPr>
          <w:tblHeader w:val="false"/>
        </w:trPr>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IREN</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IREN</w:t>
            </w:r>
          </w:p>
        </w:tc>
        <w:tc>
          <w:tcPr>
            <w:tcW w:type="dxa" w:w="1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Market Weight (NEW)</w:t>
            </w:r>
          </w:p>
        </w:tc>
        <w:tc>
          <w:tcPr>
            <w:tcW w:type="dxa" w:w="40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Bitcoin-miner-pivoting-to-AI; renewable power positioning; less mature AI-tenant book than CRWV/NBIS.</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Tencent</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0700.HK / TCEHY</w:t>
            </w:r>
          </w:p>
        </w:tc>
        <w:tc>
          <w:tcPr>
            <w:tcW w:type="dxa" w:w="1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w:t>
            </w:r>
          </w:p>
        </w:tc>
        <w:tc>
          <w:tcPr>
            <w:tcW w:type="dxa" w:w="40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Cleanest single-name Chinese AI exposure; Hunyuan T1 (closed flagship) + Hunyuan-Open + WeChat distribution. Hybrid-stack done well. Risk: VIE / political.</w:t>
            </w:r>
          </w:p>
        </w:tc>
      </w:tr>
      <w:tr>
        <w:trPr>
          <w:tblHeader w:val="false"/>
        </w:trPr>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Naspers / Prosus</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NPN.JO / PRX.AS</w:t>
            </w:r>
          </w:p>
        </w:tc>
        <w:tc>
          <w:tcPr>
            <w:tcW w:type="dxa" w:w="1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 (Indirect)</w:t>
            </w:r>
          </w:p>
        </w:tc>
        <w:tc>
          <w:tcPr>
            <w:tcW w:type="dxa" w:w="40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~24% pass-through stake in Tencent; trades at structural NAV discount. Cleanest indirect Tencent exposure for allocators with Africa/EU mandate flexibility.</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Baidu</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BIDU</w:t>
            </w:r>
          </w:p>
        </w:tc>
        <w:tc>
          <w:tcPr>
            <w:tcW w:type="dxa" w:w="1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Market Weight</w:t>
            </w:r>
          </w:p>
        </w:tc>
        <w:tc>
          <w:tcPr>
            <w:tcW w:type="dxa" w:w="40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ERNIE 5.0 + ERNIE-X1 + Apollo + cloud; cheapest China-AI on P/E. Structural search risk and ERNIE has not closed gap to Qwen / GLM.</w:t>
            </w:r>
          </w:p>
        </w:tc>
      </w:tr>
      <w:tr>
        <w:trPr>
          <w:tblHeader w:val="false"/>
        </w:trPr>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Alibaba</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BABA / 9988.HK</w:t>
            </w:r>
          </w:p>
        </w:tc>
        <w:tc>
          <w:tcPr>
            <w:tcW w:type="dxa" w:w="1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w:t>
            </w:r>
          </w:p>
        </w:tc>
        <w:tc>
          <w:tcPr>
            <w:tcW w:type="dxa" w:w="40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Qwen 3.5 currently top of several open-weight benchmarks; Alibaba Cloud + MiniMax stake exposure. Diversified Chinese AI exposure.</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Constellation</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CEG</w:t>
            </w:r>
          </w:p>
        </w:tc>
        <w:tc>
          <w:tcPr>
            <w:tcW w:type="dxa" w:w="1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w:t>
            </w:r>
          </w:p>
        </w:tc>
        <w:tc>
          <w:tcPr>
            <w:tcW w:type="dxa" w:w="40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Largest U.S. nuclear operator; first-mover on dedicated hyperscaler PPAs (MSFT TMI restart). Most AI-leveraged power utility.</w:t>
            </w:r>
          </w:p>
        </w:tc>
      </w:tr>
      <w:tr>
        <w:trPr>
          <w:tblHeader w:val="false"/>
        </w:trPr>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Vistra</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VST</w:t>
            </w:r>
          </w:p>
        </w:tc>
        <w:tc>
          <w:tcPr>
            <w:tcW w:type="dxa" w:w="1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w:t>
            </w:r>
          </w:p>
        </w:tc>
        <w:tc>
          <w:tcPr>
            <w:tcW w:type="dxa" w:w="40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Comanche Peak nuclear + Texas gas peaker fleet; aggressive AI data-center contracting. ERCOT exposure.</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Talen Energy</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TLN</w:t>
            </w:r>
          </w:p>
        </w:tc>
        <w:tc>
          <w:tcPr>
            <w:tcW w:type="dxa" w:w="1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w:t>
            </w:r>
          </w:p>
        </w:tc>
        <w:tc>
          <w:tcPr>
            <w:tcW w:type="dxa" w:w="40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Susquehanna nuclear PPA precedent; growing dedicated AI capacity book; recently signed incremental 2GW agreement.</w:t>
            </w:r>
          </w:p>
        </w:tc>
      </w:tr>
      <w:tr>
        <w:trPr>
          <w:tblHeader w:val="false"/>
        </w:trPr>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Oklo</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OKLO</w:t>
            </w:r>
          </w:p>
        </w:tc>
        <w:tc>
          <w:tcPr>
            <w:tcW w:type="dxa" w:w="1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Speculative Overweight</w:t>
            </w:r>
          </w:p>
        </w:tc>
        <w:tc>
          <w:tcPr>
            <w:tcW w:type="dxa" w:w="40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Pre-revenue SMR developer; first plant 2027 target; Sam Altman backing; speculative but uniquely positioned for late-decade AI power tail demand.</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Applied Materials</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AMAT</w:t>
            </w:r>
          </w:p>
        </w:tc>
        <w:tc>
          <w:tcPr>
            <w:tcW w:type="dxa" w:w="1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w:t>
            </w:r>
          </w:p>
        </w:tc>
        <w:tc>
          <w:tcPr>
            <w:tcW w:type="dxa" w:w="40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Benefits from TSMC 2nm ramp; leading deposition + etch share. Diversified across logic, memory, packaging.</w:t>
            </w:r>
          </w:p>
        </w:tc>
      </w:tr>
      <w:tr>
        <w:trPr>
          <w:tblHeader w:val="false"/>
        </w:trPr>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Lam Research</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LRCX</w:t>
            </w:r>
          </w:p>
        </w:tc>
        <w:tc>
          <w:tcPr>
            <w:tcW w:type="dxa" w:w="1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w:t>
            </w:r>
          </w:p>
        </w:tc>
        <w:tc>
          <w:tcPr>
            <w:tcW w:type="dxa" w:w="40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Etch leadership + memory exposure (HBM ramp). Leveraged to 2026 memory cycle.</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KLA</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KLAC</w:t>
            </w:r>
          </w:p>
        </w:tc>
        <w:tc>
          <w:tcPr>
            <w:tcW w:type="dxa" w:w="1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w:t>
            </w:r>
          </w:p>
        </w:tc>
        <w:tc>
          <w:tcPr>
            <w:tcW w:type="dxa" w:w="40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Process control monopoly; benefits from advanced-node yield-ramp complexity. Highest gross margins in equipment.</w:t>
            </w:r>
          </w:p>
        </w:tc>
      </w:tr>
      <w:tr>
        <w:trPr>
          <w:tblHeader w:val="false"/>
        </w:trPr>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Hon Hai (Foxconn)</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2317.TW</w:t>
            </w:r>
          </w:p>
        </w:tc>
        <w:tc>
          <w:tcPr>
            <w:tcW w:type="dxa" w:w="1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Overweight</w:t>
            </w:r>
          </w:p>
        </w:tc>
        <w:tc>
          <w:tcPr>
            <w:tcW w:type="dxa" w:w="40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Dominant AI server contract manufacturer; benefits from rack-scale system buildout. Cheapest valuation in entire AI supply chain.</w:t>
            </w:r>
          </w:p>
        </w:tc>
      </w:tr>
      <w:tr>
        <w:trPr>
          <w:tblHeader w:val="false"/>
        </w:trPr>
        <w:tc>
          <w:tcPr>
            <w:tcW w:type="dxa" w:w="17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Dell</w:t>
            </w:r>
          </w:p>
        </w:tc>
        <w:tc>
          <w:tcPr>
            <w:tcW w:type="dxa" w:w="11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DELL</w:t>
            </w:r>
          </w:p>
        </w:tc>
        <w:tc>
          <w:tcPr>
            <w:tcW w:type="dxa" w:w="120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Market Weight</w:t>
            </w:r>
          </w:p>
        </w:tc>
        <w:tc>
          <w:tcPr>
            <w:tcW w:type="dxa" w:w="4060"/>
            <w:tcBorders>
              <w:top w:val="single" w:color="D0D5DD" w:sz="4"/>
              <w:left w:val="single" w:color="D0D5DD" w:sz="4"/>
              <w:bottom w:val="single" w:color="D0D5DD" w:sz="4"/>
              <w:right w:val="single" w:color="D0D5DD" w:sz="4"/>
            </w:tcBorders>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AI server beneficiary; lower-margin than NVDA/TSM/HBM but volume-leveraged.</w:t>
            </w:r>
          </w:p>
        </w:tc>
      </w:tr>
      <w:tr>
        <w:trPr>
          <w:tblHeader w:val="false"/>
        </w:trPr>
        <w:tc>
          <w:tcPr>
            <w:tcW w:type="dxa" w:w="17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Super Micro</w:t>
            </w:r>
          </w:p>
        </w:tc>
        <w:tc>
          <w:tcPr>
            <w:tcW w:type="dxa" w:w="11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SMCI</w:t>
            </w:r>
          </w:p>
        </w:tc>
        <w:tc>
          <w:tcPr>
            <w:tcW w:type="dxa" w:w="120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Market Weight</w:t>
            </w:r>
          </w:p>
        </w:tc>
        <w:tc>
          <w:tcPr>
            <w:tcW w:type="dxa" w:w="4060"/>
            <w:tcBorders>
              <w:top w:val="single" w:color="D0D5DD" w:sz="4"/>
              <w:left w:val="single" w:color="D0D5DD" w:sz="4"/>
              <w:bottom w:val="single" w:color="D0D5DD" w:sz="4"/>
              <w:right w:val="single" w:color="D0D5DD" w:sz="4"/>
            </w:tcBorders>
            <w:shd w:fill="F7F9FC" w:val="clear"/>
            <w:tcMar>
              <w:top w:type="dxa" w:w="100"/>
              <w:left w:type="dxa" w:w="140"/>
              <w:bottom w:type="dxa" w:w="100"/>
              <w:right w:type="dxa" w:w="140"/>
            </w:tcMar>
            <w:vAlign w:val="center"/>
          </w:tcPr>
          <w:p>
            <w:pPr>
              <w:spacing w:after="0" w:before="0" w:line="240"/>
              <w:jc w:val="left"/>
            </w:pPr>
            <w:r>
              <w:rPr>
                <w:rFonts w:ascii="Arial" w:cs="Arial" w:eastAsia="Arial" w:hAnsi="Arial"/>
                <w:b w:val="false"/>
                <w:bCs w:val="false"/>
                <w:color w:val="1D2939"/>
                <w:sz w:val="18"/>
                <w:szCs w:val="18"/>
              </w:rPr>
              <w:t xml:space="preserve">Rebuilding governance post-restatement; AI server demand remains strong but execution risk priced.</w:t>
            </w:r>
          </w:p>
        </w:tc>
      </w:tr>
    </w:tbl>
    <w:p>
      <w:pPr>
        <w:spacing w:after="120" w:before="0"/>
      </w:pPr>
      <w:r>
        <w:t xml:space="preserve"/>
      </w:r>
    </w:p>
    <w:p>
      <w:pPr>
        <w:pStyle w:val="Heading2"/>
        <w:spacing w:after="160" w:before="280"/>
      </w:pPr>
      <w:r>
        <w:rPr>
          <w:rFonts w:ascii="Arial" w:cs="Arial" w:eastAsia="Arial" w:hAnsi="Arial"/>
          <w:b/>
          <w:bCs/>
          <w:color w:val="1B4F8C"/>
          <w:sz w:val="26"/>
          <w:szCs w:val="26"/>
        </w:rPr>
        <w:t xml:space="preserve">11.3 Private-Market Exposure Recommendations</w:t>
      </w:r>
    </w:p>
    <w:p>
      <w:pPr>
        <w:spacing w:after="120" w:before="0" w:line="280"/>
        <w:jc w:val="both"/>
      </w:pPr>
      <w:r>
        <w:rPr>
          <w:rFonts w:ascii="Arial" w:cs="Arial" w:eastAsia="Arial" w:hAnsi="Arial"/>
          <w:b w:val="false"/>
          <w:bCs w:val="false"/>
          <w:i w:val="false"/>
          <w:iCs w:val="false"/>
          <w:color w:val="1D2939"/>
          <w:sz w:val="20"/>
          <w:szCs w:val="20"/>
        </w:rPr>
        <w:t xml:space="preserve">For the desk's HNW and institutional accounts seeking direct exposure to private AI names, we maintain the framework laid out in Section 7. The ranking by liquidity and capital efficiency: (1) MSFT for OpenAI exposure remains the cleanest public-market vehicle; (2) GOOGL or AMZN for Anthropic (with GOOGL preferred for the additional TPU and Gemini exposure); (3) for diversified pre-IPO basket exposure, ARKVX or DXYZ — but with explicit awareness that DXYZ trades at persistent NAV premium and ARKVX has interval-fund liquidity constraints; (4) AngelList USVC (newly launched April 22, 2026) is materially more capital-efficient than its predecessors at $500 minimum with no carry; (5) direct secondaries via Hiive or Forge for accredited accounts with multi-year lockup tolerance.</w:t>
      </w:r>
    </w:p>
    <w:p>
      <w:pPr>
        <w:pStyle w:val="Heading2"/>
        <w:spacing w:after="160" w:before="280"/>
      </w:pPr>
      <w:r>
        <w:rPr>
          <w:rFonts w:ascii="Arial" w:cs="Arial" w:eastAsia="Arial" w:hAnsi="Arial"/>
          <w:b/>
          <w:bCs/>
          <w:color w:val="1B4F8C"/>
          <w:sz w:val="26"/>
          <w:szCs w:val="26"/>
        </w:rPr>
        <w:t xml:space="preserve">11.4 The MD's Single-Sentence Takeaway</w:t>
      </w:r>
    </w:p>
    <w:p>
      <w:pPr>
        <w:spacing w:after="120" w:before="0" w:line="280"/>
        <w:jc w:val="both"/>
      </w:pPr>
      <w:r>
        <w:rPr>
          <w:rFonts w:ascii="Arial" w:cs="Arial" w:eastAsia="Arial" w:hAnsi="Arial"/>
          <w:b w:val="false"/>
          <w:bCs w:val="false"/>
          <w:i w:val="false"/>
          <w:iCs w:val="false"/>
          <w:color w:val="1D2939"/>
          <w:sz w:val="20"/>
          <w:szCs w:val="20"/>
        </w:rPr>
        <w:t xml:space="preserve">If the MD wants one positioning recommendation distilled from the entire 70+ page report: stay long the supply chain (NVDA, TSM, ASML, SK Hynix, AVGO, MU, SNDK), overweight the cleanest model-camp proxies (MSFT for OpenAI, GOOGL for Anthropic plus TPU, Tencent for China), initiate the neocloud tier (CRWV, NBIS), add Apple tactically for the local-AI hardware vector, and use the new democratized vehicles (USVC, DXYZ, ARKVX, Robinhood Ventures Fund I) for retail-accessible pre-IPO exposure to OpenAI, Anthropic, and xAI. The picks-and-shovels thesis remains the cleanest expression; the model-layer thesis is the higher-beta vehicle for AI conviction.</w:t>
      </w:r>
    </w:p>
    <w:p>
      <w:pPr>
        <w:pStyle w:val="Heading2"/>
        <w:spacing w:after="160" w:before="280"/>
      </w:pPr>
      <w:r>
        <w:rPr>
          <w:rFonts w:ascii="Arial" w:cs="Arial" w:eastAsia="Arial" w:hAnsi="Arial"/>
          <w:b/>
          <w:bCs/>
          <w:color w:val="1B4F8C"/>
          <w:sz w:val="26"/>
          <w:szCs w:val="26"/>
        </w:rPr>
        <w:t xml:space="preserve">11.5 What Could Make Us Wrong</w:t>
      </w:r>
    </w:p>
    <w:p>
      <w:pPr>
        <w:spacing w:after="120" w:before="0" w:line="280"/>
        <w:jc w:val="both"/>
      </w:pPr>
      <w:r>
        <w:rPr>
          <w:rFonts w:ascii="Arial" w:cs="Arial" w:eastAsia="Arial" w:hAnsi="Arial"/>
          <w:b w:val="false"/>
          <w:bCs w:val="false"/>
          <w:i w:val="false"/>
          <w:iCs w:val="false"/>
          <w:color w:val="1D2939"/>
          <w:sz w:val="20"/>
          <w:szCs w:val="20"/>
        </w:rPr>
        <w:t xml:space="preserve">The bear case to this framework is concentrated in three scenarios. First, a capability plateau at the frontier that compresses the closed-weight pricing premium faster than enterprise mix can scale — bearish for OpenAI/Anthropic API economics and for the closed-weight investor proxies (MSFT, GOOGL, AMZN) at current valuations. Second, a hyperscaler capex pause driven by either AI revenue disappointment or power-grid binding constraints — bearish for the entire supply chain (NVDA, SK Hynix, AVGO, TSMC) at current multiples. Third, a geopolitical de-escalation that reverses China hardware independence — bearish for Huawei-stack thesis and for the parallel-stack capex tailwind. We monitor each of these via the catalyst calendar in Section 10. As of this writing, none are our base case, but each warrants explicit position-sizing discipline.</w:t>
      </w:r>
    </w:p>
    <w:p>
      <w:pPr>
        <w:spacing w:after="240" w:before="0"/>
      </w:pPr>
      <w:r>
        <w:t xml:space="preserve"/>
      </w:r>
    </w:p>
    <w:p>
      <w:pPr>
        <w:spacing w:after="120" w:before="0" w:line="280"/>
        <w:jc w:val="center"/>
      </w:pPr>
      <w:r>
        <w:rPr>
          <w:rFonts w:ascii="Arial" w:cs="Arial" w:eastAsia="Arial" w:hAnsi="Arial"/>
          <w:b/>
          <w:bCs/>
          <w:i/>
          <w:iCs/>
          <w:color w:val="1B4F8C"/>
          <w:sz w:val="20"/>
          <w:szCs w:val="20"/>
        </w:rPr>
        <w:t xml:space="preserve">— END OF REPORT —</w:t>
      </w:r>
    </w:p>
    <w:p>
      <w:pPr>
        <w:spacing w:after="120" w:before="0"/>
      </w:pPr>
      <w:r>
        <w:t xml:space="preserve"/>
      </w:r>
    </w:p>
    <w:p>
      <w:pPr>
        <w:spacing w:after="120" w:before="0" w:line="280"/>
        <w:jc w:val="center"/>
      </w:pPr>
      <w:r>
        <w:rPr>
          <w:rFonts w:ascii="Arial" w:cs="Arial" w:eastAsia="Arial" w:hAnsi="Arial"/>
          <w:b w:val="false"/>
          <w:bCs w:val="false"/>
          <w:i/>
          <w:iCs/>
          <w:color w:val="1B4F8C"/>
          <w:sz w:val="16"/>
          <w:szCs w:val="16"/>
        </w:rPr>
        <w:t xml:space="preserve">Goldman Sachs Global Investment Research | AI Coverage — Thematic Research v2 | April 25, 2026</w:t>
      </w:r>
    </w:p>
    <w:p>
      <w:pPr>
        <w:spacing w:after="120" w:before="0" w:line="280"/>
        <w:jc w:val="center"/>
      </w:pPr>
      <w:r>
        <w:rPr>
          <w:rFonts w:ascii="Arial" w:cs="Arial" w:eastAsia="Arial" w:hAnsi="Arial"/>
          <w:b w:val="false"/>
          <w:bCs w:val="false"/>
          <w:i/>
          <w:iCs/>
          <w:color w:val="1D2939"/>
          <w:sz w:val="14"/>
          <w:szCs w:val="14"/>
        </w:rPr>
        <w:t xml:space="preserve">This report represents the views of Global Investment Research and is intended for the addressed Managing Director and authorized internal recipients only. Distribution outside the firm is prohibited without prior compliance review.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00"/>
        <w:tab w:val="right" w:pos="9360"/>
      </w:tabs>
      <w:jc w:val="center"/>
    </w:pPr>
    <w:r>
      <w:rPr>
        <w:rFonts w:ascii="Arial" w:cs="Arial" w:eastAsia="Arial" w:hAnsi="Arial"/>
        <w:i/>
        <w:iCs/>
        <w:color w:val="1B4F8C"/>
        <w:sz w:val="16"/>
        <w:szCs w:val="16"/>
      </w:rPr>
      <w:t xml:space="preserve">CONFIDENTIAL — For internal distribution only</w:t>
    </w:r>
    <w:r>
      <w:rPr>
        <w:rFonts w:ascii="Arial" w:cs="Arial" w:eastAsia="Arial" w:hAnsi="Arial"/>
        <w:color w:val="1D2939"/>
        <w:sz w:val="16"/>
        <w:szCs w:val="16"/>
      </w:rPr>
      <w:t xml:space="preserve">	Page </w:t>
    </w:r>
    <w:r>
      <w:rPr>
        <w:rFonts w:ascii="Arial" w:cs="Arial" w:eastAsia="Arial" w:hAnsi="Arial"/>
        <w:color w:val="1D2939"/>
        <w:sz w:val="16"/>
        <w:szCs w:val="16"/>
      </w:rPr>
      <w:fldChar w:fldCharType="begin"/>
      <w:instrText xml:space="preserve">PAGE</w:instrText>
      <w:fldChar w:fldCharType="separate"/>
      <w:fldChar w:fldCharType="end"/>
    </w:r>
    <w:r>
      <w:rPr>
        <w:rFonts w:ascii="Arial" w:cs="Arial" w:eastAsia="Arial" w:hAnsi="Arial"/>
        <w:color w:val="1D2939"/>
        <w:sz w:val="16"/>
        <w:szCs w:val="16"/>
      </w:rPr>
      <w:t xml:space="preserve"> of </w:t>
    </w:r>
    <w:r>
      <w:rPr>
        <w:rFonts w:ascii="Arial" w:cs="Arial" w:eastAsia="Arial" w:hAnsi="Arial"/>
        <w:color w:val="1D293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C" w:sz="4" w:space="4"/>
      </w:pBdr>
      <w:spacing w:after="0" w:before="0"/>
      <w:jc w:val="left"/>
    </w:pPr>
    <w:r>
      <w:rPr>
        <w:rFonts w:ascii="Arial" w:cs="Arial" w:eastAsia="Arial" w:hAnsi="Arial"/>
        <w:i/>
        <w:iCs/>
        <w:color w:val="1B4F8C"/>
        <w:sz w:val="16"/>
        <w:szCs w:val="16"/>
      </w:rPr>
      <w:t xml:space="preserve">Goldman Sachs Global Investment Research   |   AI Coverage — Thematic Research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F8C"/>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2026-04-25T08:17:37.344Z</dcterms:created>
  <dcterms:modified xsi:type="dcterms:W3CDTF">2026-04-25T08:17:37.400Z</dcterms:modified>
</cp:coreProperties>
</file>

<file path=docProps/custom.xml><?xml version="1.0" encoding="utf-8"?>
<Properties xmlns="http://schemas.openxmlformats.org/officeDocument/2006/custom-properties" xmlns:vt="http://schemas.openxmlformats.org/officeDocument/2006/docPropsVTypes"/>
</file>