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EXTEDO | a cormeo brand</w:t>
      </w:r>
    </w:p>
    <w:p/>
    <w:p>
      <w:pPr>
        <w:jc w:val="center"/>
      </w:pPr>
      <w:r>
        <w:rPr>
          <w:b/>
          <w:color w:val="1F4E79"/>
          <w:sz w:val="44"/>
        </w:rPr>
        <w:t>eMAS Vision &amp; Business Requirements</w:t>
      </w:r>
    </w:p>
    <w:p>
      <w:pPr>
        <w:jc w:val="center"/>
      </w:pPr>
      <w:r>
        <w:rPr>
          <w:sz w:val="26"/>
        </w:rPr>
        <w:t>Business requirements for eCTDmanager migration assessment</w:t>
      </w:r>
    </w:p>
    <w:p/>
    <w:tbl>
      <w:tblPr>
        <w:tblStyle w:val="TableGrid"/>
        <w:tblW w:type="auto" w:w="0"/>
        <w:jc w:val="center"/>
        <w:tblLook w:firstColumn="1" w:firstRow="1" w:lastColumn="0" w:lastRow="0" w:noHBand="0" w:noVBand="1" w:val="04A0"/>
      </w:tblPr>
      <w:tblGrid>
        <w:gridCol w:w="5184"/>
        <w:gridCol w:w="5184"/>
      </w:tblGrid>
      <w:tr>
        <w:tc>
          <w:tcPr>
            <w:tcW w:type="dxa" w:w="5184"/>
            <w:vAlign w:val="top"/>
            <w:shd w:fill="D9EAF7"/>
          </w:tcPr>
          <w:p>
            <w:r/>
            <w:r>
              <w:rPr>
                <w:rFonts w:ascii="Aptos" w:hAnsi="Aptos"/>
                <w:b/>
                <w:sz w:val="18"/>
              </w:rPr>
              <w:t>Project</w:t>
            </w:r>
          </w:p>
        </w:tc>
        <w:tc>
          <w:tcPr>
            <w:tcW w:type="dxa" w:w="5184"/>
            <w:vAlign w:val="top"/>
          </w:tcPr>
          <w:p>
            <w:r/>
            <w:r>
              <w:rPr>
                <w:rFonts w:ascii="Aptos" w:hAnsi="Aptos"/>
                <w:b w:val="0"/>
                <w:sz w:val="18"/>
              </w:rPr>
              <w:t>eMAS - eCTD Migration Assessment Script</w:t>
            </w:r>
          </w:p>
        </w:tc>
      </w:tr>
      <w:tr>
        <w:tc>
          <w:tcPr>
            <w:tcW w:type="dxa" w:w="5184"/>
            <w:vAlign w:val="top"/>
            <w:shd w:fill="D9EAF7"/>
          </w:tcPr>
          <w:p>
            <w:r/>
            <w:r>
              <w:rPr>
                <w:rFonts w:ascii="Aptos" w:hAnsi="Aptos"/>
                <w:b/>
                <w:sz w:val="18"/>
              </w:rPr>
              <w:t>Document Version</w:t>
            </w:r>
          </w:p>
        </w:tc>
        <w:tc>
          <w:tcPr>
            <w:tcW w:type="dxa" w:w="5184"/>
            <w:vAlign w:val="top"/>
          </w:tcPr>
          <w:p>
            <w:r/>
            <w:r>
              <w:rPr>
                <w:rFonts w:ascii="Aptos" w:hAnsi="Aptos"/>
                <w:b w:val="0"/>
                <w:sz w:val="18"/>
              </w:rPr>
              <w:t>Version 2.0</w:t>
            </w:r>
          </w:p>
        </w:tc>
      </w:tr>
      <w:tr>
        <w:tc>
          <w:tcPr>
            <w:tcW w:type="dxa" w:w="5184"/>
            <w:vAlign w:val="top"/>
            <w:shd w:fill="D9EAF7"/>
          </w:tcPr>
          <w:p>
            <w:r/>
            <w:r>
              <w:rPr>
                <w:rFonts w:ascii="Aptos" w:hAnsi="Aptos"/>
                <w:b/>
                <w:sz w:val="18"/>
              </w:rPr>
              <w:t>Confluence Traceability ID</w:t>
            </w:r>
          </w:p>
        </w:tc>
        <w:tc>
          <w:tcPr>
            <w:tcW w:type="dxa" w:w="5184"/>
            <w:vAlign w:val="top"/>
          </w:tcPr>
          <w:p>
            <w:r/>
            <w:r>
              <w:rPr>
                <w:rFonts w:ascii="Aptos" w:hAnsi="Aptos"/>
                <w:b w:val="0"/>
                <w:sz w:val="18"/>
              </w:rPr>
              <w:t>1386873065</w:t>
            </w:r>
          </w:p>
        </w:tc>
      </w:tr>
      <w:tr>
        <w:tc>
          <w:tcPr>
            <w:tcW w:type="dxa" w:w="5184"/>
            <w:vAlign w:val="top"/>
            <w:shd w:fill="D9EAF7"/>
          </w:tcPr>
          <w:p>
            <w:r/>
            <w:r>
              <w:rPr>
                <w:rFonts w:ascii="Aptos" w:hAnsi="Aptos"/>
                <w:b/>
                <w:sz w:val="18"/>
              </w:rPr>
              <w:t>Status</w:t>
            </w:r>
          </w:p>
        </w:tc>
        <w:tc>
          <w:tcPr>
            <w:tcW w:type="dxa" w:w="5184"/>
            <w:vAlign w:val="top"/>
          </w:tcPr>
          <w:p>
            <w:r/>
            <w:r>
              <w:rPr>
                <w:rFonts w:ascii="Aptos" w:hAnsi="Aptos"/>
                <w:b w:val="0"/>
                <w:sz w:val="18"/>
              </w:rPr>
              <w:t>Draft for internal peer review</w:t>
            </w:r>
          </w:p>
        </w:tc>
      </w:tr>
      <w:tr>
        <w:tc>
          <w:tcPr>
            <w:tcW w:type="dxa" w:w="5184"/>
            <w:vAlign w:val="top"/>
            <w:shd w:fill="D9EAF7"/>
          </w:tcPr>
          <w:p>
            <w:r/>
            <w:r>
              <w:rPr>
                <w:rFonts w:ascii="Aptos" w:hAnsi="Aptos"/>
                <w:b/>
                <w:sz w:val="18"/>
              </w:rPr>
              <w:t>Generated Date</w:t>
            </w:r>
          </w:p>
        </w:tc>
        <w:tc>
          <w:tcPr>
            <w:tcW w:type="dxa" w:w="5184"/>
            <w:vAlign w:val="top"/>
          </w:tcPr>
          <w:p>
            <w:r/>
            <w:r>
              <w:rPr>
                <w:rFonts w:ascii="Aptos" w:hAnsi="Aptos"/>
                <w:b w:val="0"/>
                <w:sz w:val="18"/>
              </w:rPr>
              <w:t>10 July 2026</w:t>
            </w:r>
          </w:p>
        </w:tc>
      </w:tr>
      <w:tr>
        <w:tc>
          <w:tcPr>
            <w:tcW w:type="dxa" w:w="5184"/>
            <w:vAlign w:val="top"/>
            <w:shd w:fill="D9EAF7"/>
          </w:tcPr>
          <w:p>
            <w:r/>
            <w:r>
              <w:rPr>
                <w:rFonts w:ascii="Aptos" w:hAnsi="Aptos"/>
                <w:b/>
                <w:sz w:val="18"/>
              </w:rPr>
              <w:t>Document Control</w:t>
            </w:r>
          </w:p>
        </w:tc>
        <w:tc>
          <w:tcPr>
            <w:tcW w:type="dxa" w:w="5184"/>
            <w:vAlign w:val="top"/>
          </w:tcPr>
          <w:p>
            <w:r/>
            <w:r>
              <w:rPr>
                <w:rFonts w:ascii="Aptos" w:hAnsi="Aptos"/>
                <w:b w:val="0"/>
                <w:sz w:val="18"/>
              </w:rPr>
              <w:t>Prepared for EXTEDO eCTDmanager migration assessment design</w:t>
            </w:r>
          </w:p>
        </w:tc>
      </w:tr>
    </w:tbl>
    <w:p>
      <w:r>
        <w:br w:type="page"/>
      </w:r>
    </w:p>
    <w:p>
      <w:pPr>
        <w:pStyle w:val="Heading1"/>
      </w:pPr>
      <w:r>
        <w:t>Document Control</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D9EAF7"/>
          </w:tcPr>
          <w:p>
            <w:r/>
            <w:r>
              <w:rPr>
                <w:rFonts w:ascii="Aptos" w:hAnsi="Aptos"/>
                <w:b/>
                <w:sz w:val="18"/>
              </w:rPr>
              <w:t>Purpose</w:t>
            </w:r>
          </w:p>
        </w:tc>
        <w:tc>
          <w:tcPr>
            <w:tcW w:type="dxa" w:w="5184"/>
            <w:vAlign w:val="top"/>
          </w:tcPr>
          <w:p>
            <w:r/>
            <w:r>
              <w:rPr>
                <w:rFonts w:ascii="Aptos" w:hAnsi="Aptos"/>
                <w:b w:val="0"/>
                <w:sz w:val="18"/>
              </w:rPr>
              <w:t>Defines why eMAS exists, who uses it, which migration scenarios it supports, and what business outcomes it must produce.</w:t>
            </w:r>
          </w:p>
        </w:tc>
      </w:tr>
      <w:tr>
        <w:tc>
          <w:tcPr>
            <w:tcW w:type="dxa" w:w="5184"/>
            <w:vAlign w:val="top"/>
            <w:shd w:fill="D9EAF7"/>
          </w:tcPr>
          <w:p>
            <w:r/>
            <w:r>
              <w:rPr>
                <w:rFonts w:ascii="Aptos" w:hAnsi="Aptos"/>
                <w:b/>
                <w:sz w:val="18"/>
              </w:rPr>
              <w:t>Audience</w:t>
            </w:r>
          </w:p>
        </w:tc>
        <w:tc>
          <w:tcPr>
            <w:tcW w:type="dxa" w:w="5184"/>
            <w:vAlign w:val="top"/>
          </w:tcPr>
          <w:p>
            <w:r/>
            <w:r>
              <w:rPr>
                <w:rFonts w:ascii="Aptos" w:hAnsi="Aptos"/>
                <w:b w:val="0"/>
                <w:sz w:val="18"/>
              </w:rPr>
              <w:t>Pre-sales, technical consultants, migration team, project management, validation stakeholders, and PowerShell developers.</w:t>
            </w:r>
          </w:p>
        </w:tc>
      </w:tr>
      <w:tr>
        <w:tc>
          <w:tcPr>
            <w:tcW w:type="dxa" w:w="5184"/>
            <w:vAlign w:val="top"/>
            <w:shd w:fill="D9EAF7"/>
          </w:tcPr>
          <w:p>
            <w:r/>
            <w:r>
              <w:rPr>
                <w:rFonts w:ascii="Aptos" w:hAnsi="Aptos"/>
                <w:b/>
                <w:sz w:val="18"/>
              </w:rPr>
              <w:t>Important Positioning</w:t>
            </w:r>
          </w:p>
        </w:tc>
        <w:tc>
          <w:tcPr>
            <w:tcW w:type="dxa" w:w="5184"/>
            <w:vAlign w:val="top"/>
          </w:tcPr>
          <w:p>
            <w:r/>
            <w:r>
              <w:rPr>
                <w:rFonts w:ascii="Aptos" w:hAnsi="Aptos"/>
                <w:b w:val="0"/>
                <w:sz w:val="18"/>
              </w:rPr>
              <w:t>eMAS is a professional, read-only, script-based assessment approach. It is not a migration execution tool, not an AI-based system, and not a replacement for regulatory or customer validation.</w:t>
            </w:r>
          </w:p>
        </w:tc>
      </w:tr>
      <w:tr>
        <w:tc>
          <w:tcPr>
            <w:tcW w:type="dxa" w:w="5184"/>
            <w:vAlign w:val="top"/>
            <w:shd w:fill="D9EAF7"/>
          </w:tcPr>
          <w:p>
            <w:r/>
            <w:r>
              <w:rPr>
                <w:rFonts w:ascii="Aptos" w:hAnsi="Aptos"/>
                <w:b/>
                <w:sz w:val="18"/>
              </w:rPr>
              <w:t>Branding</w:t>
            </w:r>
          </w:p>
        </w:tc>
        <w:tc>
          <w:tcPr>
            <w:tcW w:type="dxa" w:w="5184"/>
            <w:vAlign w:val="top"/>
          </w:tcPr>
          <w:p>
            <w:r/>
            <w:r>
              <w:rPr>
                <w:rFonts w:ascii="Aptos" w:hAnsi="Aptos"/>
                <w:b w:val="0"/>
                <w:sz w:val="18"/>
              </w:rPr>
              <w:t>EXTEDO | a cormeo brand</w:t>
            </w:r>
          </w:p>
        </w:tc>
      </w:tr>
      <w:tr>
        <w:tc>
          <w:tcPr>
            <w:tcW w:type="dxa" w:w="5184"/>
            <w:vAlign w:val="top"/>
            <w:shd w:fill="D9EAF7"/>
          </w:tcPr>
          <w:p>
            <w:r/>
            <w:r>
              <w:rPr>
                <w:rFonts w:ascii="Aptos" w:hAnsi="Aptos"/>
                <w:b/>
                <w:sz w:val="18"/>
              </w:rPr>
              <w:t>Traceability</w:t>
            </w:r>
          </w:p>
        </w:tc>
        <w:tc>
          <w:tcPr>
            <w:tcW w:type="dxa" w:w="5184"/>
            <w:vAlign w:val="top"/>
          </w:tcPr>
          <w:p>
            <w:r/>
            <w:r>
              <w:rPr>
                <w:rFonts w:ascii="Aptos" w:hAnsi="Aptos"/>
                <w:b w:val="0"/>
                <w:sz w:val="18"/>
              </w:rPr>
              <w:t>Confluence ID 1386873065</w:t>
            </w:r>
          </w:p>
        </w:tc>
      </w:tr>
    </w:tbl>
    <w:p/>
    <w:p>
      <w:pPr>
        <w:pStyle w:val="Heading2"/>
      </w:pPr>
      <w:r>
        <w:t>Revision History</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1F4E79"/>
          </w:tcPr>
          <w:p>
            <w:r/>
            <w:r>
              <w:rPr>
                <w:rFonts w:ascii="Aptos" w:hAnsi="Aptos"/>
                <w:b/>
                <w:color w:val="FFFFFF"/>
                <w:sz w:val="17"/>
              </w:rPr>
              <w:t>Version</w:t>
            </w:r>
          </w:p>
        </w:tc>
        <w:tc>
          <w:tcPr>
            <w:tcW w:type="dxa" w:w="2592"/>
            <w:vAlign w:val="top"/>
            <w:shd w:fill="1F4E79"/>
          </w:tcPr>
          <w:p>
            <w:r/>
            <w:r>
              <w:rPr>
                <w:rFonts w:ascii="Aptos" w:hAnsi="Aptos"/>
                <w:b/>
                <w:color w:val="FFFFFF"/>
                <w:sz w:val="17"/>
              </w:rPr>
              <w:t>Date</w:t>
            </w:r>
          </w:p>
        </w:tc>
        <w:tc>
          <w:tcPr>
            <w:tcW w:type="dxa" w:w="2592"/>
            <w:vAlign w:val="top"/>
            <w:shd w:fill="1F4E79"/>
          </w:tcPr>
          <w:p>
            <w:r/>
            <w:r>
              <w:rPr>
                <w:rFonts w:ascii="Aptos" w:hAnsi="Aptos"/>
                <w:b/>
                <w:color w:val="FFFFFF"/>
                <w:sz w:val="17"/>
              </w:rPr>
              <w:t>Change Summary</w:t>
            </w:r>
          </w:p>
        </w:tc>
        <w:tc>
          <w:tcPr>
            <w:tcW w:type="dxa" w:w="2592"/>
            <w:vAlign w:val="top"/>
            <w:shd w:fill="1F4E79"/>
          </w:tcPr>
          <w:p>
            <w:r/>
            <w:r>
              <w:rPr>
                <w:rFonts w:ascii="Aptos" w:hAnsi="Aptos"/>
                <w:b/>
                <w:color w:val="FFFFFF"/>
                <w:sz w:val="17"/>
              </w:rPr>
              <w:t>Owner</w:t>
            </w:r>
          </w:p>
        </w:tc>
      </w:tr>
      <w:tr>
        <w:tc>
          <w:tcPr>
            <w:tcW w:type="dxa" w:w="2592"/>
            <w:vAlign w:val="top"/>
          </w:tcPr>
          <w:p>
            <w:r/>
            <w:r>
              <w:rPr>
                <w:rFonts w:ascii="Aptos" w:hAnsi="Aptos"/>
                <w:b w:val="0"/>
                <w:sz w:val="17"/>
              </w:rPr>
              <w:t>1.0</w:t>
            </w:r>
          </w:p>
        </w:tc>
        <w:tc>
          <w:tcPr>
            <w:tcW w:type="dxa" w:w="2592"/>
            <w:vAlign w:val="top"/>
          </w:tcPr>
          <w:p>
            <w:r/>
            <w:r>
              <w:rPr>
                <w:rFonts w:ascii="Aptos" w:hAnsi="Aptos"/>
                <w:b w:val="0"/>
                <w:sz w:val="17"/>
              </w:rPr>
              <w:t>Earlier draft</w:t>
            </w:r>
          </w:p>
        </w:tc>
        <w:tc>
          <w:tcPr>
            <w:tcW w:type="dxa" w:w="2592"/>
            <w:vAlign w:val="top"/>
          </w:tcPr>
          <w:p>
            <w:r/>
            <w:r>
              <w:rPr>
                <w:rFonts w:ascii="Aptos" w:hAnsi="Aptos"/>
                <w:b w:val="0"/>
                <w:sz w:val="17"/>
              </w:rPr>
              <w:t>Initial prompt and pre-sales script design baseline.</w:t>
            </w:r>
          </w:p>
        </w:tc>
        <w:tc>
          <w:tcPr>
            <w:tcW w:type="dxa" w:w="2592"/>
            <w:vAlign w:val="top"/>
          </w:tcPr>
          <w:p>
            <w:r/>
            <w:r>
              <w:rPr>
                <w:rFonts w:ascii="Aptos" w:hAnsi="Aptos"/>
                <w:b w:val="0"/>
                <w:sz w:val="17"/>
              </w:rPr>
              <w:t>Project team</w:t>
            </w:r>
          </w:p>
        </w:tc>
      </w:tr>
      <w:tr>
        <w:tc>
          <w:tcPr>
            <w:tcW w:type="dxa" w:w="2592"/>
            <w:vAlign w:val="top"/>
          </w:tcPr>
          <w:p>
            <w:r/>
            <w:r>
              <w:rPr>
                <w:rFonts w:ascii="Aptos" w:hAnsi="Aptos"/>
                <w:b w:val="0"/>
                <w:sz w:val="17"/>
              </w:rPr>
              <w:t>2.0</w:t>
            </w:r>
          </w:p>
        </w:tc>
        <w:tc>
          <w:tcPr>
            <w:tcW w:type="dxa" w:w="2592"/>
            <w:vAlign w:val="top"/>
          </w:tcPr>
          <w:p>
            <w:r/>
            <w:r>
              <w:rPr>
                <w:rFonts w:ascii="Aptos" w:hAnsi="Aptos"/>
                <w:b w:val="0"/>
                <w:sz w:val="17"/>
              </w:rPr>
              <w:t>10 July 2026</w:t>
            </w:r>
          </w:p>
        </w:tc>
        <w:tc>
          <w:tcPr>
            <w:tcW w:type="dxa" w:w="2592"/>
            <w:vAlign w:val="top"/>
          </w:tcPr>
          <w:p>
            <w:r/>
            <w:r>
              <w:rPr>
                <w:rFonts w:ascii="Aptos" w:hAnsi="Aptos"/>
                <w:b w:val="0"/>
                <w:sz w:val="17"/>
              </w:rPr>
              <w:t>Consolidated documentation pack covering mapping-driven design, RAG folder validation, dossier classification, effort drivers, report specifications, development guide, testing, and user guidance.</w:t>
            </w:r>
          </w:p>
        </w:tc>
        <w:tc>
          <w:tcPr>
            <w:tcW w:type="dxa" w:w="2592"/>
            <w:vAlign w:val="top"/>
          </w:tcPr>
          <w:p>
            <w:r/>
            <w:r>
              <w:rPr>
                <w:rFonts w:ascii="Aptos" w:hAnsi="Aptos"/>
                <w:b w:val="0"/>
                <w:sz w:val="17"/>
              </w:rPr>
              <w:t>Project team</w:t>
            </w:r>
          </w:p>
        </w:tc>
      </w:tr>
    </w:tbl>
    <w:p/>
    <w:p>
      <w:pPr>
        <w:pStyle w:val="Heading1"/>
      </w:pPr>
      <w:r>
        <w:t>1. Business Problem</w:t>
      </w:r>
    </w:p>
    <w:p>
      <w:r>
        <w:t>eCTDmanager migration projects often start with incomplete information about database size, archive size, dossier count, sequence count, source system folder quality, regulatory format mix, and customer readiness. This can lead to repeated clarifications, unclear effort estimation, inconsistent pre-sales discussions, and weak traceability between observed evidence and migration planning decisions.</w:t>
      </w:r>
    </w:p>
    <w:p>
      <w:r>
        <w:t>eMAS addresses this by producing structured, read-only assessment outputs that are useful for pre-sales scoping, pre-migration readiness decisions, and post-migration reconciliation.</w:t>
      </w:r>
    </w:p>
    <w:p>
      <w:pPr>
        <w:pStyle w:val="Heading1"/>
      </w:pPr>
      <w:r>
        <w:t>2. Product Definition</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D9EAF7"/>
          </w:tcPr>
          <w:p>
            <w:r/>
            <w:r>
              <w:rPr>
                <w:rFonts w:ascii="Aptos" w:hAnsi="Aptos"/>
                <w:b/>
                <w:sz w:val="18"/>
              </w:rPr>
              <w:t>Name</w:t>
            </w:r>
          </w:p>
        </w:tc>
        <w:tc>
          <w:tcPr>
            <w:tcW w:type="dxa" w:w="5184"/>
            <w:vAlign w:val="top"/>
          </w:tcPr>
          <w:p>
            <w:r/>
            <w:r>
              <w:rPr>
                <w:rFonts w:ascii="Aptos" w:hAnsi="Aptos"/>
                <w:b w:val="0"/>
                <w:sz w:val="18"/>
              </w:rPr>
              <w:t>eMAS - eCTD Migration Assessment Script</w:t>
            </w:r>
          </w:p>
        </w:tc>
      </w:tr>
      <w:tr>
        <w:tc>
          <w:tcPr>
            <w:tcW w:type="dxa" w:w="5184"/>
            <w:vAlign w:val="top"/>
            <w:shd w:fill="D9EAF7"/>
          </w:tcPr>
          <w:p>
            <w:r/>
            <w:r>
              <w:rPr>
                <w:rFonts w:ascii="Aptos" w:hAnsi="Aptos"/>
                <w:b/>
                <w:sz w:val="18"/>
              </w:rPr>
              <w:t>Short Name</w:t>
            </w:r>
          </w:p>
        </w:tc>
        <w:tc>
          <w:tcPr>
            <w:tcW w:type="dxa" w:w="5184"/>
            <w:vAlign w:val="top"/>
          </w:tcPr>
          <w:p>
            <w:r/>
            <w:r>
              <w:rPr>
                <w:rFonts w:ascii="Aptos" w:hAnsi="Aptos"/>
                <w:b w:val="0"/>
                <w:sz w:val="18"/>
              </w:rPr>
              <w:t>eMAS</w:t>
            </w:r>
          </w:p>
        </w:tc>
      </w:tr>
      <w:tr>
        <w:tc>
          <w:tcPr>
            <w:tcW w:type="dxa" w:w="5184"/>
            <w:vAlign w:val="top"/>
            <w:shd w:fill="D9EAF7"/>
          </w:tcPr>
          <w:p>
            <w:r/>
            <w:r>
              <w:rPr>
                <w:rFonts w:ascii="Aptos" w:hAnsi="Aptos"/>
                <w:b/>
                <w:sz w:val="18"/>
              </w:rPr>
              <w:t>Type</w:t>
            </w:r>
          </w:p>
        </w:tc>
        <w:tc>
          <w:tcPr>
            <w:tcW w:type="dxa" w:w="5184"/>
            <w:vAlign w:val="top"/>
          </w:tcPr>
          <w:p>
            <w:r/>
            <w:r>
              <w:rPr>
                <w:rFonts w:ascii="Aptos" w:hAnsi="Aptos"/>
                <w:b w:val="0"/>
                <w:sz w:val="18"/>
              </w:rPr>
              <w:t>Read-only script-based assessment approach</w:t>
            </w:r>
          </w:p>
        </w:tc>
      </w:tr>
      <w:tr>
        <w:tc>
          <w:tcPr>
            <w:tcW w:type="dxa" w:w="5184"/>
            <w:vAlign w:val="top"/>
            <w:shd w:fill="D9EAF7"/>
          </w:tcPr>
          <w:p>
            <w:r/>
            <w:r>
              <w:rPr>
                <w:rFonts w:ascii="Aptos" w:hAnsi="Aptos"/>
                <w:b/>
                <w:sz w:val="18"/>
              </w:rPr>
              <w:t>Primary Technology</w:t>
            </w:r>
          </w:p>
        </w:tc>
        <w:tc>
          <w:tcPr>
            <w:tcW w:type="dxa" w:w="5184"/>
            <w:vAlign w:val="top"/>
          </w:tcPr>
          <w:p>
            <w:r/>
            <w:r>
              <w:rPr>
                <w:rFonts w:ascii="Aptos" w:hAnsi="Aptos"/>
                <w:b w:val="0"/>
                <w:sz w:val="18"/>
              </w:rPr>
              <w:t>PowerShell with OpenXML XLSX generation</w:t>
            </w:r>
          </w:p>
        </w:tc>
      </w:tr>
      <w:tr>
        <w:tc>
          <w:tcPr>
            <w:tcW w:type="dxa" w:w="5184"/>
            <w:vAlign w:val="top"/>
            <w:shd w:fill="D9EAF7"/>
          </w:tcPr>
          <w:p>
            <w:r/>
            <w:r>
              <w:rPr>
                <w:rFonts w:ascii="Aptos" w:hAnsi="Aptos"/>
                <w:b/>
                <w:sz w:val="18"/>
              </w:rPr>
              <w:t>Positioning</w:t>
            </w:r>
          </w:p>
        </w:tc>
        <w:tc>
          <w:tcPr>
            <w:tcW w:type="dxa" w:w="5184"/>
            <w:vAlign w:val="top"/>
          </w:tcPr>
          <w:p>
            <w:r/>
            <w:r>
              <w:rPr>
                <w:rFonts w:ascii="Aptos" w:hAnsi="Aptos"/>
                <w:b w:val="0"/>
                <w:sz w:val="18"/>
              </w:rPr>
              <w:t>Professional assessment evidence for migration scoping, readiness, and reconciliation</w:t>
            </w:r>
          </w:p>
        </w:tc>
      </w:tr>
      <w:tr>
        <w:tc>
          <w:tcPr>
            <w:tcW w:type="dxa" w:w="5184"/>
            <w:vAlign w:val="top"/>
            <w:shd w:fill="D9EAF7"/>
          </w:tcPr>
          <w:p>
            <w:r/>
            <w:r>
              <w:rPr>
                <w:rFonts w:ascii="Aptos" w:hAnsi="Aptos"/>
                <w:b/>
                <w:sz w:val="18"/>
              </w:rPr>
              <w:t>Explicit Non-Positioning</w:t>
            </w:r>
          </w:p>
        </w:tc>
        <w:tc>
          <w:tcPr>
            <w:tcW w:type="dxa" w:w="5184"/>
            <w:vAlign w:val="top"/>
          </w:tcPr>
          <w:p>
            <w:r/>
            <w:r>
              <w:rPr>
                <w:rFonts w:ascii="Aptos" w:hAnsi="Aptos"/>
                <w:b w:val="0"/>
                <w:sz w:val="18"/>
              </w:rPr>
              <w:t>Not a migration execution tool, not an AI tool, not regulatory validation, not formal business acceptance.</w:t>
            </w:r>
          </w:p>
        </w:tc>
      </w:tr>
    </w:tbl>
    <w:p/>
    <w:p>
      <w:pPr>
        <w:pStyle w:val="Heading1"/>
      </w:pPr>
      <w:r>
        <w:t>3. Objectives</w:t>
      </w:r>
    </w:p>
    <w:p>
      <w:pPr>
        <w:pStyle w:val="ListBullet"/>
      </w:pPr>
      <w:r>
        <w:t>Reduce manual discovery effort during pre-sales and migration preparation.</w:t>
      </w:r>
    </w:p>
    <w:p>
      <w:pPr>
        <w:pStyle w:val="ListBullet"/>
      </w:pPr>
      <w:r>
        <w:t>Standardize scope, readiness, and verification reports across projects.</w:t>
      </w:r>
    </w:p>
    <w:p>
      <w:pPr>
        <w:pStyle w:val="ListBullet"/>
      </w:pPr>
      <w:r>
        <w:t>Provide effort drivers and confidence indicators based on observed evidence.</w:t>
      </w:r>
    </w:p>
    <w:p>
      <w:pPr>
        <w:pStyle w:val="ListBullet"/>
      </w:pPr>
      <w:r>
        <w:t>Detect dossier region, format, type, folder status, mandatory-file findings, and structural complexity.</w:t>
      </w:r>
    </w:p>
    <w:p>
      <w:pPr>
        <w:pStyle w:val="ListBullet"/>
      </w:pPr>
      <w:r>
        <w:t>Separate pre-sales estimation from pre-migration readiness and post-migration verification.</w:t>
      </w:r>
    </w:p>
    <w:p>
      <w:pPr>
        <w:pStyle w:val="ListBullet"/>
      </w:pPr>
      <w:r>
        <w:t>Create a mapping-driven model that can evolve without rewriting PowerShell code.</w:t>
      </w:r>
    </w:p>
    <w:p>
      <w:pPr>
        <w:pStyle w:val="Heading1"/>
      </w:pPr>
      <w:r>
        <w:t>4. Stakeholders and Benefits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1F4E79"/>
          </w:tcPr>
          <w:p>
            <w:r/>
            <w:r>
              <w:rPr>
                <w:rFonts w:ascii="Aptos" w:hAnsi="Aptos"/>
                <w:b/>
                <w:color w:val="FFFFFF"/>
                <w:sz w:val="17"/>
              </w:rPr>
              <w:t>Stakeholder</w:t>
            </w:r>
          </w:p>
        </w:tc>
        <w:tc>
          <w:tcPr>
            <w:tcW w:type="dxa" w:w="3456"/>
            <w:vAlign w:val="top"/>
            <w:shd w:fill="1F4E79"/>
          </w:tcPr>
          <w:p>
            <w:r/>
            <w:r>
              <w:rPr>
                <w:rFonts w:ascii="Aptos" w:hAnsi="Aptos"/>
                <w:b/>
                <w:color w:val="FFFFFF"/>
                <w:sz w:val="17"/>
              </w:rPr>
              <w:t>Primary Need</w:t>
            </w:r>
          </w:p>
        </w:tc>
        <w:tc>
          <w:tcPr>
            <w:tcW w:type="dxa" w:w="3456"/>
            <w:vAlign w:val="top"/>
            <w:shd w:fill="1F4E79"/>
          </w:tcPr>
          <w:p>
            <w:r/>
            <w:r>
              <w:rPr>
                <w:rFonts w:ascii="Aptos" w:hAnsi="Aptos"/>
                <w:b/>
                <w:color w:val="FFFFFF"/>
                <w:sz w:val="17"/>
              </w:rPr>
              <w:t>eMAS Value</w:t>
            </w:r>
          </w:p>
        </w:tc>
      </w:tr>
      <w:tr>
        <w:tc>
          <w:tcPr>
            <w:tcW w:type="dxa" w:w="3456"/>
            <w:vAlign w:val="top"/>
          </w:tcPr>
          <w:p>
            <w:r/>
            <w:r>
              <w:rPr>
                <w:rFonts w:ascii="Aptos" w:hAnsi="Aptos"/>
                <w:b w:val="0"/>
                <w:sz w:val="17"/>
              </w:rPr>
              <w:t>Pre-Sales Team</w:t>
            </w:r>
          </w:p>
        </w:tc>
        <w:tc>
          <w:tcPr>
            <w:tcW w:type="dxa" w:w="3456"/>
            <w:vAlign w:val="top"/>
          </w:tcPr>
          <w:p>
            <w:r/>
            <w:r>
              <w:rPr>
                <w:rFonts w:ascii="Aptos" w:hAnsi="Aptos"/>
                <w:b w:val="0"/>
                <w:sz w:val="17"/>
              </w:rPr>
              <w:t>Understand effort drivers before quotation.</w:t>
            </w:r>
          </w:p>
        </w:tc>
        <w:tc>
          <w:tcPr>
            <w:tcW w:type="dxa" w:w="3456"/>
            <w:vAlign w:val="top"/>
          </w:tcPr>
          <w:p>
            <w:r/>
            <w:r>
              <w:rPr>
                <w:rFonts w:ascii="Aptos" w:hAnsi="Aptos"/>
                <w:b w:val="0"/>
                <w:sz w:val="17"/>
              </w:rPr>
              <w:t>Provides scope, volume, complexity, missing inputs, and confidence.</w:t>
            </w:r>
          </w:p>
        </w:tc>
      </w:tr>
      <w:tr>
        <w:tc>
          <w:tcPr>
            <w:tcW w:type="dxa" w:w="3456"/>
            <w:vAlign w:val="top"/>
          </w:tcPr>
          <w:p>
            <w:r/>
            <w:r>
              <w:rPr>
                <w:rFonts w:ascii="Aptos" w:hAnsi="Aptos"/>
                <w:b w:val="0"/>
                <w:sz w:val="17"/>
              </w:rPr>
              <w:t>Project Manager</w:t>
            </w:r>
          </w:p>
        </w:tc>
        <w:tc>
          <w:tcPr>
            <w:tcW w:type="dxa" w:w="3456"/>
            <w:vAlign w:val="top"/>
          </w:tcPr>
          <w:p>
            <w:r/>
            <w:r>
              <w:rPr>
                <w:rFonts w:ascii="Aptos" w:hAnsi="Aptos"/>
                <w:b w:val="0"/>
                <w:sz w:val="17"/>
              </w:rPr>
              <w:t>Plan migration effort and customer prerequisites.</w:t>
            </w:r>
          </w:p>
        </w:tc>
        <w:tc>
          <w:tcPr>
            <w:tcW w:type="dxa" w:w="3456"/>
            <w:vAlign w:val="top"/>
          </w:tcPr>
          <w:p>
            <w:r/>
            <w:r>
              <w:rPr>
                <w:rFonts w:ascii="Aptos" w:hAnsi="Aptos"/>
                <w:b w:val="0"/>
                <w:sz w:val="17"/>
              </w:rPr>
              <w:t>Provides structured evidence and action lists.</w:t>
            </w:r>
          </w:p>
        </w:tc>
      </w:tr>
      <w:tr>
        <w:tc>
          <w:tcPr>
            <w:tcW w:type="dxa" w:w="3456"/>
            <w:vAlign w:val="top"/>
          </w:tcPr>
          <w:p>
            <w:r/>
            <w:r>
              <w:rPr>
                <w:rFonts w:ascii="Aptos" w:hAnsi="Aptos"/>
                <w:b w:val="0"/>
                <w:sz w:val="17"/>
              </w:rPr>
              <w:t>Technical Consultant</w:t>
            </w:r>
          </w:p>
        </w:tc>
        <w:tc>
          <w:tcPr>
            <w:tcW w:type="dxa" w:w="3456"/>
            <w:vAlign w:val="top"/>
          </w:tcPr>
          <w:p>
            <w:r/>
            <w:r>
              <w:rPr>
                <w:rFonts w:ascii="Aptos" w:hAnsi="Aptos"/>
                <w:b w:val="0"/>
                <w:sz w:val="17"/>
              </w:rPr>
              <w:t>Understand source data shape and risk areas.</w:t>
            </w:r>
          </w:p>
        </w:tc>
        <w:tc>
          <w:tcPr>
            <w:tcW w:type="dxa" w:w="3456"/>
            <w:vAlign w:val="top"/>
          </w:tcPr>
          <w:p>
            <w:r/>
            <w:r>
              <w:rPr>
                <w:rFonts w:ascii="Aptos" w:hAnsi="Aptos"/>
                <w:b w:val="0"/>
                <w:sz w:val="17"/>
              </w:rPr>
              <w:t>Provides file/folder/dossier/sequence observations and technical findings.</w:t>
            </w:r>
          </w:p>
        </w:tc>
      </w:tr>
      <w:tr>
        <w:tc>
          <w:tcPr>
            <w:tcW w:type="dxa" w:w="3456"/>
            <w:vAlign w:val="top"/>
          </w:tcPr>
          <w:p>
            <w:r/>
            <w:r>
              <w:rPr>
                <w:rFonts w:ascii="Aptos" w:hAnsi="Aptos"/>
                <w:b w:val="0"/>
                <w:sz w:val="17"/>
              </w:rPr>
              <w:t>Migration Team</w:t>
            </w:r>
          </w:p>
        </w:tc>
        <w:tc>
          <w:tcPr>
            <w:tcW w:type="dxa" w:w="3456"/>
            <w:vAlign w:val="top"/>
          </w:tcPr>
          <w:p>
            <w:r/>
            <w:r>
              <w:rPr>
                <w:rFonts w:ascii="Aptos" w:hAnsi="Aptos"/>
                <w:b w:val="0"/>
                <w:sz w:val="17"/>
              </w:rPr>
              <w:t>Know what is expected before import.</w:t>
            </w:r>
          </w:p>
        </w:tc>
        <w:tc>
          <w:tcPr>
            <w:tcW w:type="dxa" w:w="3456"/>
            <w:vAlign w:val="top"/>
          </w:tcPr>
          <w:p>
            <w:r/>
            <w:r>
              <w:rPr>
                <w:rFonts w:ascii="Aptos" w:hAnsi="Aptos"/>
                <w:b w:val="0"/>
                <w:sz w:val="17"/>
              </w:rPr>
              <w:t>Uses readiness baseline and known exclusions.</w:t>
            </w:r>
          </w:p>
        </w:tc>
      </w:tr>
      <w:tr>
        <w:tc>
          <w:tcPr>
            <w:tcW w:type="dxa" w:w="3456"/>
            <w:vAlign w:val="top"/>
          </w:tcPr>
          <w:p>
            <w:r/>
            <w:r>
              <w:rPr>
                <w:rFonts w:ascii="Aptos" w:hAnsi="Aptos"/>
                <w:b w:val="0"/>
                <w:sz w:val="17"/>
              </w:rPr>
              <w:t>Validation Team</w:t>
            </w:r>
          </w:p>
        </w:tc>
        <w:tc>
          <w:tcPr>
            <w:tcW w:type="dxa" w:w="3456"/>
            <w:vAlign w:val="top"/>
          </w:tcPr>
          <w:p>
            <w:r/>
            <w:r>
              <w:rPr>
                <w:rFonts w:ascii="Aptos" w:hAnsi="Aptos"/>
                <w:b w:val="0"/>
                <w:sz w:val="17"/>
              </w:rPr>
              <w:t>Understand evidence boundaries.</w:t>
            </w:r>
          </w:p>
        </w:tc>
        <w:tc>
          <w:tcPr>
            <w:tcW w:type="dxa" w:w="3456"/>
            <w:vAlign w:val="top"/>
          </w:tcPr>
          <w:p>
            <w:r/>
            <w:r>
              <w:rPr>
                <w:rFonts w:ascii="Aptos" w:hAnsi="Aptos"/>
                <w:b w:val="0"/>
                <w:sz w:val="17"/>
              </w:rPr>
              <w:t>Receives clear limitations and avoids overstatement.</w:t>
            </w:r>
          </w:p>
        </w:tc>
      </w:tr>
      <w:tr>
        <w:tc>
          <w:tcPr>
            <w:tcW w:type="dxa" w:w="3456"/>
            <w:vAlign w:val="top"/>
          </w:tcPr>
          <w:p>
            <w:r/>
            <w:r>
              <w:rPr>
                <w:rFonts w:ascii="Aptos" w:hAnsi="Aptos"/>
                <w:b w:val="0"/>
                <w:sz w:val="17"/>
              </w:rPr>
              <w:t>Customer</w:t>
            </w:r>
          </w:p>
        </w:tc>
        <w:tc>
          <w:tcPr>
            <w:tcW w:type="dxa" w:w="3456"/>
            <w:vAlign w:val="top"/>
          </w:tcPr>
          <w:p>
            <w:r/>
            <w:r>
              <w:rPr>
                <w:rFonts w:ascii="Aptos" w:hAnsi="Aptos"/>
                <w:b w:val="0"/>
                <w:sz w:val="17"/>
              </w:rPr>
              <w:t>Know what must be provided and clarified.</w:t>
            </w:r>
          </w:p>
        </w:tc>
        <w:tc>
          <w:tcPr>
            <w:tcW w:type="dxa" w:w="3456"/>
            <w:vAlign w:val="top"/>
          </w:tcPr>
          <w:p>
            <w:r/>
            <w:r>
              <w:rPr>
                <w:rFonts w:ascii="Aptos" w:hAnsi="Aptos"/>
                <w:b w:val="0"/>
                <w:sz w:val="17"/>
              </w:rPr>
              <w:t>Receives clear instructions and customer clarification items.</w:t>
            </w:r>
          </w:p>
        </w:tc>
      </w:tr>
    </w:tbl>
    <w:p/>
    <w:p>
      <w:pPr>
        <w:pStyle w:val="Heading1"/>
      </w:pPr>
      <w:r>
        <w:t>5. Supported Migration Scenarios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1F4E79"/>
          </w:tcPr>
          <w:p>
            <w:r/>
            <w:r>
              <w:rPr>
                <w:rFonts w:ascii="Aptos" w:hAnsi="Aptos"/>
                <w:b/>
                <w:color w:val="FFFFFF"/>
                <w:sz w:val="17"/>
              </w:rPr>
              <w:t>ID</w:t>
            </w:r>
          </w:p>
        </w:tc>
        <w:tc>
          <w:tcPr>
            <w:tcW w:type="dxa" w:w="2592"/>
            <w:vAlign w:val="top"/>
            <w:shd w:fill="1F4E79"/>
          </w:tcPr>
          <w:p>
            <w:r/>
            <w:r>
              <w:rPr>
                <w:rFonts w:ascii="Aptos" w:hAnsi="Aptos"/>
                <w:b/>
                <w:color w:val="FFFFFF"/>
                <w:sz w:val="17"/>
              </w:rPr>
              <w:t>Scenario</w:t>
            </w:r>
          </w:p>
        </w:tc>
        <w:tc>
          <w:tcPr>
            <w:tcW w:type="dxa" w:w="2592"/>
            <w:vAlign w:val="top"/>
            <w:shd w:fill="1F4E79"/>
          </w:tcPr>
          <w:p>
            <w:r/>
            <w:r>
              <w:rPr>
                <w:rFonts w:ascii="Aptos" w:hAnsi="Aptos"/>
                <w:b/>
                <w:color w:val="FFFFFF"/>
                <w:sz w:val="17"/>
              </w:rPr>
              <w:t>Typical Context</w:t>
            </w:r>
          </w:p>
        </w:tc>
        <w:tc>
          <w:tcPr>
            <w:tcW w:type="dxa" w:w="2592"/>
            <w:vAlign w:val="top"/>
            <w:shd w:fill="1F4E79"/>
          </w:tcPr>
          <w:p>
            <w:r/>
            <w:r>
              <w:rPr>
                <w:rFonts w:ascii="Aptos" w:hAnsi="Aptos"/>
                <w:b/>
                <w:color w:val="FFFFFF"/>
                <w:sz w:val="17"/>
              </w:rPr>
              <w:t>Assessment Focus</w:t>
            </w:r>
          </w:p>
        </w:tc>
      </w:tr>
      <w:tr>
        <w:tc>
          <w:tcPr>
            <w:tcW w:type="dxa" w:w="2592"/>
            <w:vAlign w:val="top"/>
          </w:tcPr>
          <w:p>
            <w:r/>
            <w:r>
              <w:rPr>
                <w:rFonts w:ascii="Aptos" w:hAnsi="Aptos"/>
                <w:b w:val="0"/>
                <w:sz w:val="17"/>
              </w:rPr>
              <w:t>S1</w:t>
            </w:r>
          </w:p>
        </w:tc>
        <w:tc>
          <w:tcPr>
            <w:tcW w:type="dxa" w:w="2592"/>
            <w:vAlign w:val="top"/>
          </w:tcPr>
          <w:p>
            <w:r/>
            <w:r>
              <w:rPr>
                <w:rFonts w:ascii="Aptos" w:hAnsi="Aptos"/>
                <w:b w:val="0"/>
                <w:sz w:val="17"/>
              </w:rPr>
              <w:t>eCTDmanager MS SQL DB to eCTDmanager MS SQL DB</w:t>
            </w:r>
          </w:p>
        </w:tc>
        <w:tc>
          <w:tcPr>
            <w:tcW w:type="dxa" w:w="2592"/>
            <w:vAlign w:val="top"/>
          </w:tcPr>
          <w:p>
            <w:r/>
            <w:r>
              <w:rPr>
                <w:rFonts w:ascii="Aptos" w:hAnsi="Aptos"/>
                <w:b w:val="0"/>
                <w:sz w:val="17"/>
              </w:rPr>
              <w:t>Customer already uses eCTDmanager on MS SQL.</w:t>
            </w:r>
          </w:p>
        </w:tc>
        <w:tc>
          <w:tcPr>
            <w:tcW w:type="dxa" w:w="2592"/>
            <w:vAlign w:val="top"/>
          </w:tcPr>
          <w:p>
            <w:r/>
            <w:r>
              <w:rPr>
                <w:rFonts w:ascii="Aptos" w:hAnsi="Aptos"/>
                <w:b w:val="0"/>
                <w:sz w:val="17"/>
              </w:rPr>
              <w:t>Database size, archive size, storage sizing, paths, transfer volume, migration planning inputs.</w:t>
            </w:r>
          </w:p>
        </w:tc>
      </w:tr>
      <w:tr>
        <w:tc>
          <w:tcPr>
            <w:tcW w:type="dxa" w:w="2592"/>
            <w:vAlign w:val="top"/>
          </w:tcPr>
          <w:p>
            <w:r/>
            <w:r>
              <w:rPr>
                <w:rFonts w:ascii="Aptos" w:hAnsi="Aptos"/>
                <w:b w:val="0"/>
                <w:sz w:val="17"/>
              </w:rPr>
              <w:t>S2</w:t>
            </w:r>
          </w:p>
        </w:tc>
        <w:tc>
          <w:tcPr>
            <w:tcW w:type="dxa" w:w="2592"/>
            <w:vAlign w:val="top"/>
          </w:tcPr>
          <w:p>
            <w:r/>
            <w:r>
              <w:rPr>
                <w:rFonts w:ascii="Aptos" w:hAnsi="Aptos"/>
                <w:b w:val="0"/>
                <w:sz w:val="17"/>
              </w:rPr>
              <w:t>eCTDmanager MS Access to MS SQL DB</w:t>
            </w:r>
          </w:p>
        </w:tc>
        <w:tc>
          <w:tcPr>
            <w:tcW w:type="dxa" w:w="2592"/>
            <w:vAlign w:val="top"/>
          </w:tcPr>
          <w:p>
            <w:r/>
            <w:r>
              <w:rPr>
                <w:rFonts w:ascii="Aptos" w:hAnsi="Aptos"/>
                <w:b w:val="0"/>
                <w:sz w:val="17"/>
              </w:rPr>
              <w:t>Customer uses Access database and must move to SQL-based setup.</w:t>
            </w:r>
          </w:p>
        </w:tc>
        <w:tc>
          <w:tcPr>
            <w:tcW w:type="dxa" w:w="2592"/>
            <w:vAlign w:val="top"/>
          </w:tcPr>
          <w:p>
            <w:r/>
            <w:r>
              <w:rPr>
                <w:rFonts w:ascii="Aptos" w:hAnsi="Aptos"/>
                <w:b w:val="0"/>
                <w:sz w:val="17"/>
              </w:rPr>
              <w:t>Access database size, archive size, conversion risk, cleanup needs, transfer volume.</w:t>
            </w:r>
          </w:p>
        </w:tc>
      </w:tr>
      <w:tr>
        <w:tc>
          <w:tcPr>
            <w:tcW w:type="dxa" w:w="2592"/>
            <w:vAlign w:val="top"/>
          </w:tcPr>
          <w:p>
            <w:r/>
            <w:r>
              <w:rPr>
                <w:rFonts w:ascii="Aptos" w:hAnsi="Aptos"/>
                <w:b w:val="0"/>
                <w:sz w:val="17"/>
              </w:rPr>
              <w:t>S3</w:t>
            </w:r>
          </w:p>
        </w:tc>
        <w:tc>
          <w:tcPr>
            <w:tcW w:type="dxa" w:w="2592"/>
            <w:vAlign w:val="top"/>
          </w:tcPr>
          <w:p>
            <w:r/>
            <w:r>
              <w:rPr>
                <w:rFonts w:ascii="Aptos" w:hAnsi="Aptos"/>
                <w:b w:val="0"/>
                <w:sz w:val="17"/>
              </w:rPr>
              <w:t>External eCTD system to eCTDmanager</w:t>
            </w:r>
          </w:p>
        </w:tc>
        <w:tc>
          <w:tcPr>
            <w:tcW w:type="dxa" w:w="2592"/>
            <w:vAlign w:val="top"/>
          </w:tcPr>
          <w:p>
            <w:r/>
            <w:r>
              <w:rPr>
                <w:rFonts w:ascii="Aptos" w:hAnsi="Aptos"/>
                <w:b w:val="0"/>
                <w:sz w:val="17"/>
              </w:rPr>
              <w:t>Customer exports dossiers from another eCTD system.</w:t>
            </w:r>
          </w:p>
        </w:tc>
        <w:tc>
          <w:tcPr>
            <w:tcW w:type="dxa" w:w="2592"/>
            <w:vAlign w:val="top"/>
          </w:tcPr>
          <w:p>
            <w:r/>
            <w:r>
              <w:rPr>
                <w:rFonts w:ascii="Aptos" w:hAnsi="Aptos"/>
                <w:b w:val="0"/>
                <w:sz w:val="17"/>
              </w:rPr>
              <w:t>Dossier count, sequence count, region, format, type, folder structure, mandatory files, import effort drivers.</w:t>
            </w:r>
          </w:p>
        </w:tc>
      </w:tr>
      <w:tr>
        <w:tc>
          <w:tcPr>
            <w:tcW w:type="dxa" w:w="2592"/>
            <w:vAlign w:val="top"/>
          </w:tcPr>
          <w:p>
            <w:r/>
            <w:r>
              <w:rPr>
                <w:rFonts w:ascii="Aptos" w:hAnsi="Aptos"/>
                <w:b w:val="0"/>
                <w:sz w:val="17"/>
              </w:rPr>
              <w:t>S4</w:t>
            </w:r>
          </w:p>
        </w:tc>
        <w:tc>
          <w:tcPr>
            <w:tcW w:type="dxa" w:w="2592"/>
            <w:vAlign w:val="top"/>
          </w:tcPr>
          <w:p>
            <w:r/>
            <w:r>
              <w:rPr>
                <w:rFonts w:ascii="Aptos" w:hAnsi="Aptos"/>
                <w:b w:val="0"/>
                <w:sz w:val="17"/>
              </w:rPr>
              <w:t>Hybrid migration</w:t>
            </w:r>
          </w:p>
        </w:tc>
        <w:tc>
          <w:tcPr>
            <w:tcW w:type="dxa" w:w="2592"/>
            <w:vAlign w:val="top"/>
          </w:tcPr>
          <w:p>
            <w:r/>
            <w:r>
              <w:rPr>
                <w:rFonts w:ascii="Aptos" w:hAnsi="Aptos"/>
                <w:b w:val="0"/>
                <w:sz w:val="17"/>
              </w:rPr>
              <w:t>Database/archive assessment and dossier-level analysis are both required.</w:t>
            </w:r>
          </w:p>
        </w:tc>
        <w:tc>
          <w:tcPr>
            <w:tcW w:type="dxa" w:w="2592"/>
            <w:vAlign w:val="top"/>
          </w:tcPr>
          <w:p>
            <w:r/>
            <w:r>
              <w:rPr>
                <w:rFonts w:ascii="Aptos" w:hAnsi="Aptos"/>
                <w:b w:val="0"/>
                <w:sz w:val="17"/>
              </w:rPr>
              <w:t>Combined database, archive, export, dossier, sequence, region, format, and folder complexity scope.</w:t>
            </w:r>
          </w:p>
        </w:tc>
      </w:tr>
      <w:tr>
        <w:tc>
          <w:tcPr>
            <w:tcW w:type="dxa" w:w="2592"/>
            <w:vAlign w:val="top"/>
          </w:tcPr>
          <w:p>
            <w:r/>
            <w:r>
              <w:rPr>
                <w:rFonts w:ascii="Aptos" w:hAnsi="Aptos"/>
                <w:b w:val="0"/>
                <w:sz w:val="17"/>
              </w:rPr>
              <w:t>S5</w:t>
            </w:r>
          </w:p>
        </w:tc>
        <w:tc>
          <w:tcPr>
            <w:tcW w:type="dxa" w:w="2592"/>
            <w:vAlign w:val="top"/>
          </w:tcPr>
          <w:p>
            <w:r/>
            <w:r>
              <w:rPr>
                <w:rFonts w:ascii="Aptos" w:hAnsi="Aptos"/>
                <w:b w:val="0"/>
                <w:sz w:val="17"/>
              </w:rPr>
              <w:t>Archive-only / storage-only sizing</w:t>
            </w:r>
          </w:p>
        </w:tc>
        <w:tc>
          <w:tcPr>
            <w:tcW w:type="dxa" w:w="2592"/>
            <w:vAlign w:val="top"/>
          </w:tcPr>
          <w:p>
            <w:r/>
            <w:r>
              <w:rPr>
                <w:rFonts w:ascii="Aptos" w:hAnsi="Aptos"/>
                <w:b w:val="0"/>
                <w:sz w:val="17"/>
              </w:rPr>
              <w:t>Only storage roots are available for initial estimation.</w:t>
            </w:r>
          </w:p>
        </w:tc>
        <w:tc>
          <w:tcPr>
            <w:tcW w:type="dxa" w:w="2592"/>
            <w:vAlign w:val="top"/>
          </w:tcPr>
          <w:p>
            <w:r/>
            <w:r>
              <w:rPr>
                <w:rFonts w:ascii="Aptos" w:hAnsi="Aptos"/>
                <w:b w:val="0"/>
                <w:sz w:val="17"/>
              </w:rPr>
              <w:t>Volume, file count, folder count, long path risk, inaccessible paths, transfer sizing.</w:t>
            </w:r>
          </w:p>
        </w:tc>
      </w:tr>
      <w:tr>
        <w:tc>
          <w:tcPr>
            <w:tcW w:type="dxa" w:w="2592"/>
            <w:vAlign w:val="top"/>
          </w:tcPr>
          <w:p>
            <w:r/>
            <w:r>
              <w:rPr>
                <w:rFonts w:ascii="Aptos" w:hAnsi="Aptos"/>
                <w:b w:val="0"/>
                <w:sz w:val="17"/>
              </w:rPr>
              <w:t>S6</w:t>
            </w:r>
          </w:p>
        </w:tc>
        <w:tc>
          <w:tcPr>
            <w:tcW w:type="dxa" w:w="2592"/>
            <w:vAlign w:val="top"/>
          </w:tcPr>
          <w:p>
            <w:r/>
            <w:r>
              <w:rPr>
                <w:rFonts w:ascii="Aptos" w:hAnsi="Aptos"/>
                <w:b w:val="0"/>
                <w:sz w:val="17"/>
              </w:rPr>
              <w:t>Unknown or incomplete repository</w:t>
            </w:r>
          </w:p>
        </w:tc>
        <w:tc>
          <w:tcPr>
            <w:tcW w:type="dxa" w:w="2592"/>
            <w:vAlign w:val="top"/>
          </w:tcPr>
          <w:p>
            <w:r/>
            <w:r>
              <w:rPr>
                <w:rFonts w:ascii="Aptos" w:hAnsi="Aptos"/>
                <w:b w:val="0"/>
                <w:sz w:val="17"/>
              </w:rPr>
              <w:t>Customer cannot fully identify source system or export completeness.</w:t>
            </w:r>
          </w:p>
        </w:tc>
        <w:tc>
          <w:tcPr>
            <w:tcW w:type="dxa" w:w="2592"/>
            <w:vAlign w:val="top"/>
          </w:tcPr>
          <w:p>
            <w:r/>
            <w:r>
              <w:rPr>
                <w:rFonts w:ascii="Aptos" w:hAnsi="Aptos"/>
                <w:b w:val="0"/>
                <w:sz w:val="17"/>
              </w:rPr>
              <w:t>Clarifications, low confidence status, missing input list, limited scope statement.</w:t>
            </w:r>
          </w:p>
        </w:tc>
      </w:tr>
    </w:tbl>
    <w:p/>
    <w:p>
      <w:pPr>
        <w:pStyle w:val="Heading1"/>
      </w:pPr>
      <w:r>
        <w:t>6. Phase-Specific Business Outcomes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1F4E79"/>
          </w:tcPr>
          <w:p>
            <w:r/>
            <w:r>
              <w:rPr>
                <w:rFonts w:ascii="Aptos" w:hAnsi="Aptos"/>
                <w:b/>
                <w:color w:val="FFFFFF"/>
                <w:sz w:val="17"/>
              </w:rPr>
              <w:t>Phase</w:t>
            </w:r>
          </w:p>
        </w:tc>
        <w:tc>
          <w:tcPr>
            <w:tcW w:type="dxa" w:w="2592"/>
            <w:vAlign w:val="top"/>
            <w:shd w:fill="1F4E79"/>
          </w:tcPr>
          <w:p>
            <w:r/>
            <w:r>
              <w:rPr>
                <w:rFonts w:ascii="Aptos" w:hAnsi="Aptos"/>
                <w:b/>
                <w:color w:val="FFFFFF"/>
                <w:sz w:val="17"/>
              </w:rPr>
              <w:t>Primary Output</w:t>
            </w:r>
          </w:p>
        </w:tc>
        <w:tc>
          <w:tcPr>
            <w:tcW w:type="dxa" w:w="2592"/>
            <w:vAlign w:val="top"/>
            <w:shd w:fill="1F4E79"/>
          </w:tcPr>
          <w:p>
            <w:r/>
            <w:r>
              <w:rPr>
                <w:rFonts w:ascii="Aptos" w:hAnsi="Aptos"/>
                <w:b/>
                <w:color w:val="FFFFFF"/>
                <w:sz w:val="17"/>
              </w:rPr>
              <w:t>Decision Supported</w:t>
            </w:r>
          </w:p>
        </w:tc>
        <w:tc>
          <w:tcPr>
            <w:tcW w:type="dxa" w:w="2592"/>
            <w:vAlign w:val="top"/>
            <w:shd w:fill="1F4E79"/>
          </w:tcPr>
          <w:p>
            <w:r/>
            <w:r>
              <w:rPr>
                <w:rFonts w:ascii="Aptos" w:hAnsi="Aptos"/>
                <w:b/>
                <w:color w:val="FFFFFF"/>
                <w:sz w:val="17"/>
              </w:rPr>
              <w:t>Must Not Do</w:t>
            </w:r>
          </w:p>
        </w:tc>
      </w:tr>
      <w:tr>
        <w:tc>
          <w:tcPr>
            <w:tcW w:type="dxa" w:w="2592"/>
            <w:vAlign w:val="top"/>
          </w:tcPr>
          <w:p>
            <w:r/>
            <w:r>
              <w:rPr>
                <w:rFonts w:ascii="Aptos" w:hAnsi="Aptos"/>
                <w:b w:val="0"/>
                <w:sz w:val="17"/>
              </w:rPr>
              <w:t>Pre-sales</w:t>
            </w:r>
          </w:p>
        </w:tc>
        <w:tc>
          <w:tcPr>
            <w:tcW w:type="dxa" w:w="2592"/>
            <w:vAlign w:val="top"/>
          </w:tcPr>
          <w:p>
            <w:r/>
            <w:r>
              <w:rPr>
                <w:rFonts w:ascii="Aptos" w:hAnsi="Aptos"/>
                <w:b w:val="0"/>
                <w:sz w:val="17"/>
              </w:rPr>
              <w:t>Scope, effort drivers, complexity, estimate confidence, customer clarifications.</w:t>
            </w:r>
          </w:p>
        </w:tc>
        <w:tc>
          <w:tcPr>
            <w:tcW w:type="dxa" w:w="2592"/>
            <w:vAlign w:val="top"/>
          </w:tcPr>
          <w:p>
            <w:r/>
            <w:r>
              <w:rPr>
                <w:rFonts w:ascii="Aptos" w:hAnsi="Aptos"/>
                <w:b w:val="0"/>
                <w:sz w:val="17"/>
              </w:rPr>
              <w:t>How large and complex is the migration scope?</w:t>
            </w:r>
          </w:p>
        </w:tc>
        <w:tc>
          <w:tcPr>
            <w:tcW w:type="dxa" w:w="2592"/>
            <w:vAlign w:val="top"/>
          </w:tcPr>
          <w:p>
            <w:r/>
            <w:r>
              <w:rPr>
                <w:rFonts w:ascii="Aptos" w:hAnsi="Aptos"/>
                <w:b w:val="0"/>
                <w:sz w:val="17"/>
              </w:rPr>
              <w:t>Must not decide readiness or validate source data.</w:t>
            </w:r>
          </w:p>
        </w:tc>
      </w:tr>
      <w:tr>
        <w:tc>
          <w:tcPr>
            <w:tcW w:type="dxa" w:w="2592"/>
            <w:vAlign w:val="top"/>
          </w:tcPr>
          <w:p>
            <w:r/>
            <w:r>
              <w:rPr>
                <w:rFonts w:ascii="Aptos" w:hAnsi="Aptos"/>
                <w:b w:val="0"/>
                <w:sz w:val="17"/>
              </w:rPr>
              <w:t>Migration readiness</w:t>
            </w:r>
          </w:p>
        </w:tc>
        <w:tc>
          <w:tcPr>
            <w:tcW w:type="dxa" w:w="2592"/>
            <w:vAlign w:val="top"/>
          </w:tcPr>
          <w:p>
            <w:r/>
            <w:r>
              <w:rPr>
                <w:rFonts w:ascii="Aptos" w:hAnsi="Aptos"/>
                <w:b w:val="0"/>
                <w:sz w:val="17"/>
              </w:rPr>
              <w:t>Prerequisites, blockers, warnings, cleanup actions, and proceed/no-proceed support.</w:t>
            </w:r>
          </w:p>
        </w:tc>
        <w:tc>
          <w:tcPr>
            <w:tcW w:type="dxa" w:w="2592"/>
            <w:vAlign w:val="top"/>
          </w:tcPr>
          <w:p>
            <w:r/>
            <w:r>
              <w:rPr>
                <w:rFonts w:ascii="Aptos" w:hAnsi="Aptos"/>
                <w:b w:val="0"/>
                <w:sz w:val="17"/>
              </w:rPr>
              <w:t>Can migration proceed, proceed with accepted exceptions, or is it blocked?</w:t>
            </w:r>
          </w:p>
        </w:tc>
        <w:tc>
          <w:tcPr>
            <w:tcW w:type="dxa" w:w="2592"/>
            <w:vAlign w:val="top"/>
          </w:tcPr>
          <w:p>
            <w:r/>
            <w:r>
              <w:rPr>
                <w:rFonts w:ascii="Aptos" w:hAnsi="Aptos"/>
                <w:b w:val="0"/>
                <w:sz w:val="17"/>
              </w:rPr>
              <w:t>Must not act as commercial estimation report.</w:t>
            </w:r>
          </w:p>
        </w:tc>
      </w:tr>
      <w:tr>
        <w:tc>
          <w:tcPr>
            <w:tcW w:type="dxa" w:w="2592"/>
            <w:vAlign w:val="top"/>
          </w:tcPr>
          <w:p>
            <w:r/>
            <w:r>
              <w:rPr>
                <w:rFonts w:ascii="Aptos" w:hAnsi="Aptos"/>
                <w:b w:val="0"/>
                <w:sz w:val="17"/>
              </w:rPr>
              <w:t>Post-migration verification</w:t>
            </w:r>
          </w:p>
        </w:tc>
        <w:tc>
          <w:tcPr>
            <w:tcW w:type="dxa" w:w="2592"/>
            <w:vAlign w:val="top"/>
          </w:tcPr>
          <w:p>
            <w:r/>
            <w:r>
              <w:rPr>
                <w:rFonts w:ascii="Aptos" w:hAnsi="Aptos"/>
                <w:b w:val="0"/>
                <w:sz w:val="17"/>
              </w:rPr>
              <w:t>Baseline/import/post-import reconciliation and discrepancies.</w:t>
            </w:r>
          </w:p>
        </w:tc>
        <w:tc>
          <w:tcPr>
            <w:tcW w:type="dxa" w:w="2592"/>
            <w:vAlign w:val="top"/>
          </w:tcPr>
          <w:p>
            <w:r/>
            <w:r>
              <w:rPr>
                <w:rFonts w:ascii="Aptos" w:hAnsi="Aptos"/>
                <w:b w:val="0"/>
                <w:sz w:val="17"/>
              </w:rPr>
              <w:t>Does migrated content match the agreed baseline and what requires review?</w:t>
            </w:r>
          </w:p>
        </w:tc>
        <w:tc>
          <w:tcPr>
            <w:tcW w:type="dxa" w:w="2592"/>
            <w:vAlign w:val="top"/>
          </w:tcPr>
          <w:p>
            <w:r/>
            <w:r>
              <w:rPr>
                <w:rFonts w:ascii="Aptos" w:hAnsi="Aptos"/>
                <w:b w:val="0"/>
                <w:sz w:val="17"/>
              </w:rPr>
              <w:t>Must not claim formal customer validation or business acceptance.</w:t>
            </w:r>
          </w:p>
        </w:tc>
      </w:tr>
    </w:tbl>
    <w:p/>
    <w:p>
      <w:pPr>
        <w:pStyle w:val="Heading1"/>
      </w:pPr>
      <w:r>
        <w:t>7. Success Criteria</w:t>
      </w:r>
    </w:p>
    <w:p>
      <w:pPr>
        <w:pStyle w:val="ListBullet"/>
      </w:pPr>
      <w:r>
        <w:t>Scripts run in customer environments without Microsoft Excel installed.</w:t>
      </w:r>
    </w:p>
    <w:p>
      <w:pPr>
        <w:pStyle w:val="ListBullet"/>
      </w:pPr>
      <w:r>
        <w:t>Scripts run without external PowerShell modules.</w:t>
      </w:r>
    </w:p>
    <w:p>
      <w:pPr>
        <w:pStyle w:val="ListBullet"/>
      </w:pPr>
      <w:r>
        <w:t>Scripts create professional XLSX workbooks and timestamped logs.</w:t>
      </w:r>
    </w:p>
    <w:p>
      <w:pPr>
        <w:pStyle w:val="ListBullet"/>
      </w:pPr>
      <w:r>
        <w:t>Reports clearly show observed evidence, source, confidence, and recommendation.</w:t>
      </w:r>
    </w:p>
    <w:p>
      <w:pPr>
        <w:pStyle w:val="ListBullet"/>
      </w:pPr>
      <w:r>
        <w:t>Mapping workbook controls regulatory/business rules.</w:t>
      </w:r>
    </w:p>
    <w:p>
      <w:pPr>
        <w:pStyle w:val="ListBullet"/>
      </w:pPr>
      <w:r>
        <w:t>Reports are useful to EXTEDO sales, project management, migration, and customer teams.</w:t>
      </w:r>
    </w:p>
    <w:p>
      <w:pPr>
        <w:pStyle w:val="ListBullet"/>
      </w:pPr>
      <w:r>
        <w:t>Reports clearly state limitations and avoid overstatement.</w:t>
      </w:r>
    </w:p>
    <w:p>
      <w:pPr>
        <w:pStyle w:val="Heading1"/>
      </w:pPr>
      <w:r>
        <w:t>8. Business Constraints</w:t>
      </w:r>
    </w:p>
    <w:p>
      <w:pPr>
        <w:pStyle w:val="ListBullet"/>
      </w:pPr>
      <w:r>
        <w:t>Source environments may be customer-controlled and may have restricted access.</w:t>
      </w:r>
    </w:p>
    <w:p>
      <w:pPr>
        <w:pStyle w:val="ListBullet"/>
      </w:pPr>
      <w:r>
        <w:t>Dossier exports may be incomplete, inconsistent, or produced by non-eCTDmanager systems.</w:t>
      </w:r>
    </w:p>
    <w:p>
      <w:pPr>
        <w:pStyle w:val="ListBullet"/>
      </w:pPr>
      <w:r>
        <w:t>The script must not modify, move, delete, import, or validate submission data.</w:t>
      </w:r>
    </w:p>
    <w:p>
      <w:pPr>
        <w:pStyle w:val="ListBullet"/>
      </w:pPr>
      <w:r>
        <w:t>Regulatory interpretation must be handled by maintained mapping rules and qualified review, not hardcoded assumptions.</w:t>
      </w:r>
    </w:p>
    <w:p>
      <w:pPr>
        <w:pStyle w:val="ListBullet"/>
      </w:pPr>
      <w:r>
        <w:t>When data is unavailable, the report must state Not Assessed or Unknown, not Pass.</w:t>
      </w:r>
    </w:p>
    <w:p>
      <w:pPr>
        <w:pStyle w:val="Heading1"/>
      </w:pPr>
      <w:r>
        <w:t>9. Scope and Non-Scope</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r/>
            <w:r>
              <w:rPr>
                <w:rFonts w:ascii="Aptos" w:hAnsi="Aptos"/>
                <w:b/>
                <w:color w:val="FFFFFF"/>
                <w:sz w:val="17"/>
              </w:rPr>
              <w:t>In Scope</w:t>
            </w:r>
          </w:p>
        </w:tc>
        <w:tc>
          <w:tcPr>
            <w:tcW w:type="dxa" w:w="5184"/>
            <w:vAlign w:val="top"/>
            <w:shd w:fill="1F4E79"/>
          </w:tcPr>
          <w:p>
            <w:r/>
            <w:r>
              <w:rPr>
                <w:rFonts w:ascii="Aptos" w:hAnsi="Aptos"/>
                <w:b/>
                <w:color w:val="FFFFFF"/>
                <w:sz w:val="17"/>
              </w:rPr>
              <w:t>Out of Scope</w:t>
            </w:r>
          </w:p>
        </w:tc>
      </w:tr>
      <w:tr>
        <w:tc>
          <w:tcPr>
            <w:tcW w:type="dxa" w:w="5184"/>
            <w:vAlign w:val="top"/>
          </w:tcPr>
          <w:p>
            <w:r/>
            <w:r>
              <w:rPr>
                <w:rFonts w:ascii="Aptos" w:hAnsi="Aptos"/>
                <w:b w:val="0"/>
                <w:sz w:val="17"/>
              </w:rPr>
              <w:t>Read-only scanning of export, archive, index, storage, and relevant input reports.</w:t>
            </w:r>
          </w:p>
        </w:tc>
        <w:tc>
          <w:tcPr>
            <w:tcW w:type="dxa" w:w="5184"/>
            <w:vAlign w:val="top"/>
          </w:tcPr>
          <w:p>
            <w:r/>
            <w:r>
              <w:rPr>
                <w:rFonts w:ascii="Aptos" w:hAnsi="Aptos"/>
                <w:b w:val="0"/>
                <w:sz w:val="17"/>
              </w:rPr>
              <w:t>Performing the migration or import.</w:t>
            </w:r>
          </w:p>
        </w:tc>
      </w:tr>
      <w:tr>
        <w:tc>
          <w:tcPr>
            <w:tcW w:type="dxa" w:w="5184"/>
            <w:vAlign w:val="top"/>
          </w:tcPr>
          <w:p>
            <w:r/>
            <w:r>
              <w:rPr>
                <w:rFonts w:ascii="Aptos" w:hAnsi="Aptos"/>
                <w:b w:val="0"/>
                <w:sz w:val="17"/>
              </w:rPr>
              <w:t>Classification of region, format, and type using mapping rules.</w:t>
            </w:r>
          </w:p>
        </w:tc>
        <w:tc>
          <w:tcPr>
            <w:tcW w:type="dxa" w:w="5184"/>
            <w:vAlign w:val="top"/>
          </w:tcPr>
          <w:p>
            <w:r/>
            <w:r>
              <w:rPr>
                <w:rFonts w:ascii="Aptos" w:hAnsi="Aptos"/>
                <w:b w:val="0"/>
                <w:sz w:val="17"/>
              </w:rPr>
              <w:t>Replacing formal regulatory validation.</w:t>
            </w:r>
          </w:p>
        </w:tc>
      </w:tr>
      <w:tr>
        <w:tc>
          <w:tcPr>
            <w:tcW w:type="dxa" w:w="5184"/>
            <w:vAlign w:val="top"/>
          </w:tcPr>
          <w:p>
            <w:r/>
            <w:r>
              <w:rPr>
                <w:rFonts w:ascii="Aptos" w:hAnsi="Aptos"/>
                <w:b w:val="0"/>
                <w:sz w:val="17"/>
              </w:rPr>
              <w:t>Green/Amber/Red folder status and effort drivers.</w:t>
            </w:r>
          </w:p>
        </w:tc>
        <w:tc>
          <w:tcPr>
            <w:tcW w:type="dxa" w:w="5184"/>
            <w:vAlign w:val="top"/>
          </w:tcPr>
          <w:p>
            <w:r/>
            <w:r>
              <w:rPr>
                <w:rFonts w:ascii="Aptos" w:hAnsi="Aptos"/>
                <w:b w:val="0"/>
                <w:sz w:val="17"/>
              </w:rPr>
              <w:t>Changing source folder structure or customer data.</w:t>
            </w:r>
          </w:p>
        </w:tc>
      </w:tr>
      <w:tr>
        <w:tc>
          <w:tcPr>
            <w:tcW w:type="dxa" w:w="5184"/>
            <w:vAlign w:val="top"/>
          </w:tcPr>
          <w:p>
            <w:r/>
            <w:r>
              <w:rPr>
                <w:rFonts w:ascii="Aptos" w:hAnsi="Aptos"/>
                <w:b w:val="0"/>
                <w:sz w:val="17"/>
              </w:rPr>
              <w:t>XLSX and log generation.</w:t>
            </w:r>
          </w:p>
        </w:tc>
        <w:tc>
          <w:tcPr>
            <w:tcW w:type="dxa" w:w="5184"/>
            <w:vAlign w:val="top"/>
          </w:tcPr>
          <w:p>
            <w:r/>
            <w:r>
              <w:rPr>
                <w:rFonts w:ascii="Aptos" w:hAnsi="Aptos"/>
                <w:b w:val="0"/>
                <w:sz w:val="17"/>
              </w:rPr>
              <w:t>Connecting to production databases unless separately implemented as safe metadata-only reading.</w:t>
            </w:r>
          </w:p>
        </w:tc>
      </w:tr>
      <w:tr>
        <w:tc>
          <w:tcPr>
            <w:tcW w:type="dxa" w:w="5184"/>
            <w:vAlign w:val="top"/>
          </w:tcPr>
          <w:p>
            <w:r/>
            <w:r>
              <w:rPr>
                <w:rFonts w:ascii="Aptos" w:hAnsi="Aptos"/>
                <w:b w:val="0"/>
                <w:sz w:val="17"/>
              </w:rPr>
              <w:t>Post-migration reconciliation from provided baseline/import/post-import reports.</w:t>
            </w:r>
          </w:p>
        </w:tc>
        <w:tc>
          <w:tcPr>
            <w:tcW w:type="dxa" w:w="5184"/>
            <w:vAlign w:val="top"/>
          </w:tcPr>
          <w:p>
            <w:r/>
            <w:r>
              <w:rPr>
                <w:rFonts w:ascii="Aptos" w:hAnsi="Aptos"/>
                <w:b w:val="0"/>
                <w:sz w:val="17"/>
              </w:rPr>
              <w:t>Signing off customer acceptance.</w:t>
            </w:r>
          </w:p>
        </w:tc>
      </w:tr>
    </w:tbl>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EXTEDO | a cormeo brand | Confluence ID 1386873065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t>eMAS - eCTD Migration Assessment Script | Version 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