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EXTEDO | a cormeo brand</w:t>
      </w:r>
    </w:p>
    <w:p/>
    <w:p>
      <w:pPr>
        <w:jc w:val="center"/>
      </w:pPr>
      <w:r>
        <w:rPr>
          <w:b/>
          <w:color w:val="1F4E79"/>
          <w:sz w:val="44"/>
        </w:rPr>
        <w:t>eMAS Solution Architecture Document</w:t>
      </w:r>
    </w:p>
    <w:p>
      <w:pPr>
        <w:jc w:val="center"/>
      </w:pPr>
      <w:r>
        <w:rPr>
          <w:sz w:val="26"/>
        </w:rPr>
        <w:t>Architecture, components, data flow, and integration model</w:t>
      </w:r>
    </w:p>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Project</w:t>
            </w:r>
          </w:p>
        </w:tc>
        <w:tc>
          <w:tcPr>
            <w:tcW w:type="dxa" w:w="5184"/>
            <w:vAlign w:val="top"/>
          </w:tcPr>
          <w:p>
            <w:r/>
            <w:r>
              <w:rPr>
                <w:rFonts w:ascii="Aptos" w:hAnsi="Aptos"/>
                <w:b w:val="0"/>
                <w:sz w:val="18"/>
              </w:rPr>
              <w:t>eMAS - eCTD Migration Assessment Script</w:t>
            </w:r>
          </w:p>
        </w:tc>
      </w:tr>
      <w:tr>
        <w:tc>
          <w:tcPr>
            <w:tcW w:type="dxa" w:w="5184"/>
            <w:vAlign w:val="top"/>
            <w:shd w:fill="D9EAF7"/>
          </w:tcPr>
          <w:p>
            <w:r/>
            <w:r>
              <w:rPr>
                <w:rFonts w:ascii="Aptos" w:hAnsi="Aptos"/>
                <w:b/>
                <w:sz w:val="18"/>
              </w:rPr>
              <w:t>Document Version</w:t>
            </w:r>
          </w:p>
        </w:tc>
        <w:tc>
          <w:tcPr>
            <w:tcW w:type="dxa" w:w="5184"/>
            <w:vAlign w:val="top"/>
          </w:tcPr>
          <w:p>
            <w:r/>
            <w:r>
              <w:rPr>
                <w:rFonts w:ascii="Aptos" w:hAnsi="Aptos"/>
                <w:b w:val="0"/>
                <w:sz w:val="18"/>
              </w:rPr>
              <w:t>Version 2.0</w:t>
            </w:r>
          </w:p>
        </w:tc>
      </w:tr>
      <w:tr>
        <w:tc>
          <w:tcPr>
            <w:tcW w:type="dxa" w:w="5184"/>
            <w:vAlign w:val="top"/>
            <w:shd w:fill="D9EAF7"/>
          </w:tcPr>
          <w:p>
            <w:r/>
            <w:r>
              <w:rPr>
                <w:rFonts w:ascii="Aptos" w:hAnsi="Aptos"/>
                <w:b/>
                <w:sz w:val="18"/>
              </w:rPr>
              <w:t>Confluence Traceability ID</w:t>
            </w:r>
          </w:p>
        </w:tc>
        <w:tc>
          <w:tcPr>
            <w:tcW w:type="dxa" w:w="5184"/>
            <w:vAlign w:val="top"/>
          </w:tcPr>
          <w:p>
            <w:r/>
            <w:r>
              <w:rPr>
                <w:rFonts w:ascii="Aptos" w:hAnsi="Aptos"/>
                <w:b w:val="0"/>
                <w:sz w:val="18"/>
              </w:rPr>
              <w:t>1386873065</w:t>
            </w:r>
          </w:p>
        </w:tc>
      </w:tr>
      <w:tr>
        <w:tc>
          <w:tcPr>
            <w:tcW w:type="dxa" w:w="5184"/>
            <w:vAlign w:val="top"/>
            <w:shd w:fill="D9EAF7"/>
          </w:tcPr>
          <w:p>
            <w:r/>
            <w:r>
              <w:rPr>
                <w:rFonts w:ascii="Aptos" w:hAnsi="Aptos"/>
                <w:b/>
                <w:sz w:val="18"/>
              </w:rPr>
              <w:t>Status</w:t>
            </w:r>
          </w:p>
        </w:tc>
        <w:tc>
          <w:tcPr>
            <w:tcW w:type="dxa" w:w="5184"/>
            <w:vAlign w:val="top"/>
          </w:tcPr>
          <w:p>
            <w:r/>
            <w:r>
              <w:rPr>
                <w:rFonts w:ascii="Aptos" w:hAnsi="Aptos"/>
                <w:b w:val="0"/>
                <w:sz w:val="18"/>
              </w:rPr>
              <w:t>Draft for internal peer review</w:t>
            </w:r>
          </w:p>
        </w:tc>
      </w:tr>
      <w:tr>
        <w:tc>
          <w:tcPr>
            <w:tcW w:type="dxa" w:w="5184"/>
            <w:vAlign w:val="top"/>
            <w:shd w:fill="D9EAF7"/>
          </w:tcPr>
          <w:p>
            <w:r/>
            <w:r>
              <w:rPr>
                <w:rFonts w:ascii="Aptos" w:hAnsi="Aptos"/>
                <w:b/>
                <w:sz w:val="18"/>
              </w:rPr>
              <w:t>Generated Date</w:t>
            </w:r>
          </w:p>
        </w:tc>
        <w:tc>
          <w:tcPr>
            <w:tcW w:type="dxa" w:w="5184"/>
            <w:vAlign w:val="top"/>
          </w:tcPr>
          <w:p>
            <w:r/>
            <w:r>
              <w:rPr>
                <w:rFonts w:ascii="Aptos" w:hAnsi="Aptos"/>
                <w:b w:val="0"/>
                <w:sz w:val="18"/>
              </w:rPr>
              <w:t>10 July 2026</w:t>
            </w:r>
          </w:p>
        </w:tc>
      </w:tr>
      <w:tr>
        <w:tc>
          <w:tcPr>
            <w:tcW w:type="dxa" w:w="5184"/>
            <w:vAlign w:val="top"/>
            <w:shd w:fill="D9EAF7"/>
          </w:tcPr>
          <w:p>
            <w:r/>
            <w:r>
              <w:rPr>
                <w:rFonts w:ascii="Aptos" w:hAnsi="Aptos"/>
                <w:b/>
                <w:sz w:val="18"/>
              </w:rPr>
              <w:t>Document Control</w:t>
            </w:r>
          </w:p>
        </w:tc>
        <w:tc>
          <w:tcPr>
            <w:tcW w:type="dxa" w:w="5184"/>
            <w:vAlign w:val="top"/>
          </w:tcPr>
          <w:p>
            <w:r/>
            <w:r>
              <w:rPr>
                <w:rFonts w:ascii="Aptos" w:hAnsi="Aptos"/>
                <w:b w:val="0"/>
                <w:sz w:val="18"/>
              </w:rPr>
              <w:t>Prepared for EXTEDO eCTDmanager migration assessment design</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Purpose</w:t>
            </w:r>
          </w:p>
        </w:tc>
        <w:tc>
          <w:tcPr>
            <w:tcW w:type="dxa" w:w="5184"/>
            <w:vAlign w:val="top"/>
          </w:tcPr>
          <w:p>
            <w:r/>
            <w:r>
              <w:rPr>
                <w:rFonts w:ascii="Aptos" w:hAnsi="Aptos"/>
                <w:b w:val="0"/>
                <w:sz w:val="18"/>
              </w:rPr>
              <w:t>Defines the eMAS technical architecture, reusable components, data flow, and separation of responsibilities across scripts.</w:t>
            </w:r>
          </w:p>
        </w:tc>
      </w:tr>
      <w:tr>
        <w:tc>
          <w:tcPr>
            <w:tcW w:type="dxa" w:w="5184"/>
            <w:vAlign w:val="top"/>
            <w:shd w:fill="D9EAF7"/>
          </w:tcPr>
          <w:p>
            <w:r/>
            <w:r>
              <w:rPr>
                <w:rFonts w:ascii="Aptos" w:hAnsi="Aptos"/>
                <w:b/>
                <w:sz w:val="18"/>
              </w:rPr>
              <w:t>Audience</w:t>
            </w:r>
          </w:p>
        </w:tc>
        <w:tc>
          <w:tcPr>
            <w:tcW w:type="dxa" w:w="5184"/>
            <w:vAlign w:val="top"/>
          </w:tcPr>
          <w:p>
            <w:r/>
            <w:r>
              <w:rPr>
                <w:rFonts w:ascii="Aptos" w:hAnsi="Aptos"/>
                <w:b w:val="0"/>
                <w:sz w:val="18"/>
              </w:rPr>
              <w:t>Pre-sales, technical consultants, migration team, project management, validation stakeholders, and PowerShell developers.</w:t>
            </w:r>
          </w:p>
        </w:tc>
      </w:tr>
      <w:tr>
        <w:tc>
          <w:tcPr>
            <w:tcW w:type="dxa" w:w="5184"/>
            <w:vAlign w:val="top"/>
            <w:shd w:fill="D9EAF7"/>
          </w:tcPr>
          <w:p>
            <w:r/>
            <w:r>
              <w:rPr>
                <w:rFonts w:ascii="Aptos" w:hAnsi="Aptos"/>
                <w:b/>
                <w:sz w:val="18"/>
              </w:rPr>
              <w:t>Important Positioning</w:t>
            </w:r>
          </w:p>
        </w:tc>
        <w:tc>
          <w:tcPr>
            <w:tcW w:type="dxa" w:w="5184"/>
            <w:vAlign w:val="top"/>
          </w:tcPr>
          <w:p>
            <w:r/>
            <w:r>
              <w:rPr>
                <w:rFonts w:ascii="Aptos" w:hAnsi="Aptos"/>
                <w:b w:val="0"/>
                <w:sz w:val="18"/>
              </w:rPr>
              <w:t>eMAS is a professional, read-only, script-based assessment approach. It is not a migration execution tool, not an AI-based system, and not a replacement for regulatory or customer validation.</w:t>
            </w:r>
          </w:p>
        </w:tc>
      </w:tr>
      <w:tr>
        <w:tc>
          <w:tcPr>
            <w:tcW w:type="dxa" w:w="5184"/>
            <w:vAlign w:val="top"/>
            <w:shd w:fill="D9EAF7"/>
          </w:tcPr>
          <w:p>
            <w:r/>
            <w:r>
              <w:rPr>
                <w:rFonts w:ascii="Aptos" w:hAnsi="Aptos"/>
                <w:b/>
                <w:sz w:val="18"/>
              </w:rPr>
              <w:t>Branding</w:t>
            </w:r>
          </w:p>
        </w:tc>
        <w:tc>
          <w:tcPr>
            <w:tcW w:type="dxa" w:w="5184"/>
            <w:vAlign w:val="top"/>
          </w:tcPr>
          <w:p>
            <w:r/>
            <w:r>
              <w:rPr>
                <w:rFonts w:ascii="Aptos" w:hAnsi="Aptos"/>
                <w:b w:val="0"/>
                <w:sz w:val="18"/>
              </w:rPr>
              <w:t>EXTEDO | a cormeo brand</w:t>
            </w:r>
          </w:p>
        </w:tc>
      </w:tr>
      <w:tr>
        <w:tc>
          <w:tcPr>
            <w:tcW w:type="dxa" w:w="5184"/>
            <w:vAlign w:val="top"/>
            <w:shd w:fill="D9EAF7"/>
          </w:tcPr>
          <w:p>
            <w:r/>
            <w:r>
              <w:rPr>
                <w:rFonts w:ascii="Aptos" w:hAnsi="Aptos"/>
                <w:b/>
                <w:sz w:val="18"/>
              </w:rPr>
              <w:t>Traceability</w:t>
            </w:r>
          </w:p>
        </w:tc>
        <w:tc>
          <w:tcPr>
            <w:tcW w:type="dxa" w:w="5184"/>
            <w:vAlign w:val="top"/>
          </w:tcPr>
          <w:p>
            <w:r/>
            <w:r>
              <w:rPr>
                <w:rFonts w:ascii="Aptos" w:hAnsi="Aptos"/>
                <w:b w:val="0"/>
                <w:sz w:val="18"/>
              </w:rPr>
              <w:t>Confluence ID 1386873065</w:t>
            </w:r>
          </w:p>
        </w:tc>
      </w:tr>
    </w:tbl>
    <w:p/>
    <w:p>
      <w:pPr>
        <w:pStyle w:val="Heading2"/>
      </w:pPr>
      <w:r>
        <w:t>Revision History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rFonts w:ascii="Aptos" w:hAnsi="Aptos"/>
                <w:b/>
                <w:color w:val="FFFFFF"/>
                <w:sz w:val="17"/>
              </w:rPr>
              <w:t>Version</w:t>
            </w:r>
          </w:p>
        </w:tc>
        <w:tc>
          <w:tcPr>
            <w:tcW w:type="dxa" w:w="2592"/>
            <w:vAlign w:val="top"/>
            <w:shd w:fill="1F4E79"/>
          </w:tcPr>
          <w:p>
            <w:r/>
            <w:r>
              <w:rPr>
                <w:rFonts w:ascii="Aptos" w:hAnsi="Aptos"/>
                <w:b/>
                <w:color w:val="FFFFFF"/>
                <w:sz w:val="17"/>
              </w:rPr>
              <w:t>Date</w:t>
            </w:r>
          </w:p>
        </w:tc>
        <w:tc>
          <w:tcPr>
            <w:tcW w:type="dxa" w:w="2592"/>
            <w:vAlign w:val="top"/>
            <w:shd w:fill="1F4E79"/>
          </w:tcPr>
          <w:p>
            <w:r/>
            <w:r>
              <w:rPr>
                <w:rFonts w:ascii="Aptos" w:hAnsi="Aptos"/>
                <w:b/>
                <w:color w:val="FFFFFF"/>
                <w:sz w:val="17"/>
              </w:rPr>
              <w:t>Change Summary</w:t>
            </w:r>
          </w:p>
        </w:tc>
        <w:tc>
          <w:tcPr>
            <w:tcW w:type="dxa" w:w="2592"/>
            <w:vAlign w:val="top"/>
            <w:shd w:fill="1F4E79"/>
          </w:tcPr>
          <w:p>
            <w:r/>
            <w:r>
              <w:rPr>
                <w:rFonts w:ascii="Aptos" w:hAnsi="Aptos"/>
                <w:b/>
                <w:color w:val="FFFFFF"/>
                <w:sz w:val="17"/>
              </w:rPr>
              <w:t>Owner</w:t>
            </w:r>
          </w:p>
        </w:tc>
      </w:tr>
      <w:tr>
        <w:tc>
          <w:tcPr>
            <w:tcW w:type="dxa" w:w="2592"/>
            <w:vAlign w:val="top"/>
          </w:tcPr>
          <w:p>
            <w:r/>
            <w:r>
              <w:rPr>
                <w:rFonts w:ascii="Aptos" w:hAnsi="Aptos"/>
                <w:b w:val="0"/>
                <w:sz w:val="17"/>
              </w:rPr>
              <w:t>1.0</w:t>
            </w:r>
          </w:p>
        </w:tc>
        <w:tc>
          <w:tcPr>
            <w:tcW w:type="dxa" w:w="2592"/>
            <w:vAlign w:val="top"/>
          </w:tcPr>
          <w:p>
            <w:r/>
            <w:r>
              <w:rPr>
                <w:rFonts w:ascii="Aptos" w:hAnsi="Aptos"/>
                <w:b w:val="0"/>
                <w:sz w:val="17"/>
              </w:rPr>
              <w:t>Earlier draft</w:t>
            </w:r>
          </w:p>
        </w:tc>
        <w:tc>
          <w:tcPr>
            <w:tcW w:type="dxa" w:w="2592"/>
            <w:vAlign w:val="top"/>
          </w:tcPr>
          <w:p>
            <w:r/>
            <w:r>
              <w:rPr>
                <w:rFonts w:ascii="Aptos" w:hAnsi="Aptos"/>
                <w:b w:val="0"/>
                <w:sz w:val="17"/>
              </w:rPr>
              <w:t>Initial prompt and pre-sales script design baseline.</w:t>
            </w:r>
          </w:p>
        </w:tc>
        <w:tc>
          <w:tcPr>
            <w:tcW w:type="dxa" w:w="2592"/>
            <w:vAlign w:val="top"/>
          </w:tcPr>
          <w:p>
            <w:r/>
            <w:r>
              <w:rPr>
                <w:rFonts w:ascii="Aptos" w:hAnsi="Aptos"/>
                <w:b w:val="0"/>
                <w:sz w:val="17"/>
              </w:rPr>
              <w:t>Project team</w:t>
            </w:r>
          </w:p>
        </w:tc>
      </w:tr>
      <w:tr>
        <w:tc>
          <w:tcPr>
            <w:tcW w:type="dxa" w:w="2592"/>
            <w:vAlign w:val="top"/>
          </w:tcPr>
          <w:p>
            <w:r/>
            <w:r>
              <w:rPr>
                <w:rFonts w:ascii="Aptos" w:hAnsi="Aptos"/>
                <w:b w:val="0"/>
                <w:sz w:val="17"/>
              </w:rPr>
              <w:t>2.0</w:t>
            </w:r>
          </w:p>
        </w:tc>
        <w:tc>
          <w:tcPr>
            <w:tcW w:type="dxa" w:w="2592"/>
            <w:vAlign w:val="top"/>
          </w:tcPr>
          <w:p>
            <w:r/>
            <w:r>
              <w:rPr>
                <w:rFonts w:ascii="Aptos" w:hAnsi="Aptos"/>
                <w:b w:val="0"/>
                <w:sz w:val="17"/>
              </w:rPr>
              <w:t>10 July 2026</w:t>
            </w:r>
          </w:p>
        </w:tc>
        <w:tc>
          <w:tcPr>
            <w:tcW w:type="dxa" w:w="2592"/>
            <w:vAlign w:val="top"/>
          </w:tcPr>
          <w:p>
            <w:r/>
            <w:r>
              <w:rPr>
                <w:rFonts w:ascii="Aptos" w:hAnsi="Aptos"/>
                <w:b w:val="0"/>
                <w:sz w:val="17"/>
              </w:rPr>
              <w:t>Consolidated documentation pack covering mapping-driven design, RAG folder validation, dossier classification, effort drivers, report specifications, development guide, testing, and user guidance.</w:t>
            </w:r>
          </w:p>
        </w:tc>
        <w:tc>
          <w:tcPr>
            <w:tcW w:type="dxa" w:w="2592"/>
            <w:vAlign w:val="top"/>
          </w:tcPr>
          <w:p>
            <w:r/>
            <w:r>
              <w:rPr>
                <w:rFonts w:ascii="Aptos" w:hAnsi="Aptos"/>
                <w:b w:val="0"/>
                <w:sz w:val="17"/>
              </w:rPr>
              <w:t>Project team</w:t>
            </w:r>
          </w:p>
        </w:tc>
      </w:tr>
    </w:tbl>
    <w:p/>
    <w:p>
      <w:pPr>
        <w:pStyle w:val="Heading1"/>
      </w:pPr>
      <w:r>
        <w:t>1. Architecture Principles</w:t>
      </w:r>
    </w:p>
    <w:p>
      <w:pPr>
        <w:pStyle w:val="ListBullet"/>
      </w:pPr>
      <w:r>
        <w:t>Read-only by design.</w:t>
      </w:r>
    </w:p>
    <w:p>
      <w:pPr>
        <w:pStyle w:val="ListBullet"/>
      </w:pPr>
      <w:r>
        <w:t>Mapping-driven business logic.</w:t>
      </w:r>
    </w:p>
    <w:p>
      <w:pPr>
        <w:pStyle w:val="ListBullet"/>
      </w:pPr>
      <w:r>
        <w:t>Phase-specific reports.</w:t>
      </w:r>
    </w:p>
    <w:p>
      <w:pPr>
        <w:pStyle w:val="ListBullet"/>
      </w:pPr>
      <w:r>
        <w:t>Traceable evidence and recommendations.</w:t>
      </w:r>
    </w:p>
    <w:p>
      <w:pPr>
        <w:pStyle w:val="ListBullet"/>
      </w:pPr>
      <w:r>
        <w:t>No Microsoft Excel dependency.</w:t>
      </w:r>
    </w:p>
    <w:p>
      <w:pPr>
        <w:pStyle w:val="ListBullet"/>
      </w:pPr>
      <w:r>
        <w:t>No external PowerShell module dependency.</w:t>
      </w:r>
    </w:p>
    <w:p>
      <w:pPr>
        <w:pStyle w:val="ListBullet"/>
      </w:pPr>
      <w:r>
        <w:t>Graceful degradation when input data is unavailable.</w:t>
      </w:r>
    </w:p>
    <w:p>
      <w:pPr>
        <w:pStyle w:val="ListBullet"/>
      </w:pPr>
      <w:r>
        <w:t>Clear separation between scanning, classification, validation, scoring, and reporting.</w:t>
      </w:r>
    </w:p>
    <w:p>
      <w:pPr>
        <w:pStyle w:val="Heading1"/>
      </w:pPr>
      <w:r>
        <w:t>2. Logical Architecture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rFonts w:ascii="Aptos" w:hAnsi="Aptos"/>
                <w:b/>
                <w:color w:val="FFFFFF"/>
                <w:sz w:val="17"/>
              </w:rPr>
              <w:t>Layer</w:t>
            </w:r>
          </w:p>
        </w:tc>
        <w:tc>
          <w:tcPr>
            <w:tcW w:type="dxa" w:w="5184"/>
            <w:vAlign w:val="top"/>
            <w:shd w:fill="1F4E79"/>
          </w:tcPr>
          <w:p>
            <w:r/>
            <w:r>
              <w:rPr>
                <w:rFonts w:ascii="Aptos" w:hAnsi="Aptos"/>
                <w:b/>
                <w:color w:val="FFFFFF"/>
                <w:sz w:val="17"/>
              </w:rPr>
              <w:t>Responsibility</w:t>
            </w:r>
          </w:p>
        </w:tc>
      </w:tr>
      <w:tr>
        <w:tc>
          <w:tcPr>
            <w:tcW w:type="dxa" w:w="5184"/>
            <w:vAlign w:val="top"/>
          </w:tcPr>
          <w:p>
            <w:r/>
            <w:r>
              <w:rPr>
                <w:rFonts w:ascii="Aptos" w:hAnsi="Aptos"/>
                <w:b w:val="0"/>
                <w:sz w:val="17"/>
              </w:rPr>
              <w:t>Input Layer</w:t>
            </w:r>
          </w:p>
        </w:tc>
        <w:tc>
          <w:tcPr>
            <w:tcW w:type="dxa" w:w="5184"/>
            <w:vAlign w:val="top"/>
          </w:tcPr>
          <w:p>
            <w:r/>
            <w:r>
              <w:rPr>
                <w:rFonts w:ascii="Aptos" w:hAnsi="Aptos"/>
                <w:b w:val="0"/>
                <w:sz w:val="17"/>
              </w:rPr>
              <w:t>Receives export roots, archive roots, storage roots, database information, readiness baseline, migration summary workbook, accepted exceptions, logo, and output parameters.</w:t>
            </w:r>
          </w:p>
        </w:tc>
      </w:tr>
      <w:tr>
        <w:tc>
          <w:tcPr>
            <w:tcW w:type="dxa" w:w="5184"/>
            <w:vAlign w:val="top"/>
          </w:tcPr>
          <w:p>
            <w:r/>
            <w:r>
              <w:rPr>
                <w:rFonts w:ascii="Aptos" w:hAnsi="Aptos"/>
                <w:b w:val="0"/>
                <w:sz w:val="17"/>
              </w:rPr>
              <w:t>Discovery Layer</w:t>
            </w:r>
          </w:p>
        </w:tc>
        <w:tc>
          <w:tcPr>
            <w:tcW w:type="dxa" w:w="5184"/>
            <w:vAlign w:val="top"/>
          </w:tcPr>
          <w:p>
            <w:r/>
            <w:r>
              <w:rPr>
                <w:rFonts w:ascii="Aptos" w:hAnsi="Aptos"/>
                <w:b w:val="0"/>
                <w:sz w:val="17"/>
              </w:rPr>
              <w:t>Enumerates folders, files, sizes, sequences, modules, XML files, checksums, and source paths.</w:t>
            </w:r>
          </w:p>
        </w:tc>
      </w:tr>
      <w:tr>
        <w:tc>
          <w:tcPr>
            <w:tcW w:type="dxa" w:w="5184"/>
            <w:vAlign w:val="top"/>
          </w:tcPr>
          <w:p>
            <w:r/>
            <w:r>
              <w:rPr>
                <w:rFonts w:ascii="Aptos" w:hAnsi="Aptos"/>
                <w:b w:val="0"/>
                <w:sz w:val="17"/>
              </w:rPr>
              <w:t>Mapping Layer</w:t>
            </w:r>
          </w:p>
        </w:tc>
        <w:tc>
          <w:tcPr>
            <w:tcW w:type="dxa" w:w="5184"/>
            <w:vAlign w:val="top"/>
          </w:tcPr>
          <w:p>
            <w:r/>
            <w:r>
              <w:rPr>
                <w:rFonts w:ascii="Aptos" w:hAnsi="Aptos"/>
                <w:b w:val="0"/>
                <w:sz w:val="17"/>
              </w:rPr>
              <w:t>Loads region, format, type, mandatory-folder/file, RAG, effort, recommendation, confidence, and authority rules from workbook.</w:t>
            </w:r>
          </w:p>
        </w:tc>
      </w:tr>
      <w:tr>
        <w:tc>
          <w:tcPr>
            <w:tcW w:type="dxa" w:w="5184"/>
            <w:vAlign w:val="top"/>
          </w:tcPr>
          <w:p>
            <w:r/>
            <w:r>
              <w:rPr>
                <w:rFonts w:ascii="Aptos" w:hAnsi="Aptos"/>
                <w:b w:val="0"/>
                <w:sz w:val="17"/>
              </w:rPr>
              <w:t>Classification Layer</w:t>
            </w:r>
          </w:p>
        </w:tc>
        <w:tc>
          <w:tcPr>
            <w:tcW w:type="dxa" w:w="5184"/>
            <w:vAlign w:val="top"/>
          </w:tcPr>
          <w:p>
            <w:r/>
            <w:r>
              <w:rPr>
                <w:rFonts w:ascii="Aptos" w:hAnsi="Aptos"/>
                <w:b w:val="0"/>
                <w:sz w:val="17"/>
              </w:rPr>
              <w:t>Determines region, format, and type with confidence and detection evidence.</w:t>
            </w:r>
          </w:p>
        </w:tc>
      </w:tr>
      <w:tr>
        <w:tc>
          <w:tcPr>
            <w:tcW w:type="dxa" w:w="5184"/>
            <w:vAlign w:val="top"/>
          </w:tcPr>
          <w:p>
            <w:r/>
            <w:r>
              <w:rPr>
                <w:rFonts w:ascii="Aptos" w:hAnsi="Aptos"/>
                <w:b w:val="0"/>
                <w:sz w:val="17"/>
              </w:rPr>
              <w:t>Validation Layer</w:t>
            </w:r>
          </w:p>
        </w:tc>
        <w:tc>
          <w:tcPr>
            <w:tcW w:type="dxa" w:w="5184"/>
            <w:vAlign w:val="top"/>
          </w:tcPr>
          <w:p>
            <w:r/>
            <w:r>
              <w:rPr>
                <w:rFonts w:ascii="Aptos" w:hAnsi="Aptos"/>
                <w:b w:val="0"/>
                <w:sz w:val="17"/>
              </w:rPr>
              <w:t>Applies folder structure, mandatory file, referenced file, XML readability, and readiness checks.</w:t>
            </w:r>
          </w:p>
        </w:tc>
      </w:tr>
      <w:tr>
        <w:tc>
          <w:tcPr>
            <w:tcW w:type="dxa" w:w="5184"/>
            <w:vAlign w:val="top"/>
          </w:tcPr>
          <w:p>
            <w:r/>
            <w:r>
              <w:rPr>
                <w:rFonts w:ascii="Aptos" w:hAnsi="Aptos"/>
                <w:b w:val="0"/>
                <w:sz w:val="17"/>
              </w:rPr>
              <w:t>Effort and Decision Layer</w:t>
            </w:r>
          </w:p>
        </w:tc>
        <w:tc>
          <w:tcPr>
            <w:tcW w:type="dxa" w:w="5184"/>
            <w:vAlign w:val="top"/>
          </w:tcPr>
          <w:p>
            <w:r/>
            <w:r>
              <w:rPr>
                <w:rFonts w:ascii="Aptos" w:hAnsi="Aptos"/>
                <w:b w:val="0"/>
                <w:sz w:val="17"/>
              </w:rPr>
              <w:t>Calculates effort complexity, estimate confidence, readiness decision, reconciliation result, and recommended next action.</w:t>
            </w:r>
          </w:p>
        </w:tc>
      </w:tr>
      <w:tr>
        <w:tc>
          <w:tcPr>
            <w:tcW w:type="dxa" w:w="5184"/>
            <w:vAlign w:val="top"/>
          </w:tcPr>
          <w:p>
            <w:r/>
            <w:r>
              <w:rPr>
                <w:rFonts w:ascii="Aptos" w:hAnsi="Aptos"/>
                <w:b w:val="0"/>
                <w:sz w:val="17"/>
              </w:rPr>
              <w:t>Reporting Layer</w:t>
            </w:r>
          </w:p>
        </w:tc>
        <w:tc>
          <w:tcPr>
            <w:tcW w:type="dxa" w:w="5184"/>
            <w:vAlign w:val="top"/>
          </w:tcPr>
          <w:p>
            <w:r/>
            <w:r>
              <w:rPr>
                <w:rFonts w:ascii="Aptos" w:hAnsi="Aptos"/>
                <w:b w:val="0"/>
                <w:sz w:val="17"/>
              </w:rPr>
              <w:t>Creates XLSX workbook, styles, tables, raw evidence sheets, summary outputs, and execution details.</w:t>
            </w:r>
          </w:p>
        </w:tc>
      </w:tr>
      <w:tr>
        <w:tc>
          <w:tcPr>
            <w:tcW w:type="dxa" w:w="5184"/>
            <w:vAlign w:val="top"/>
          </w:tcPr>
          <w:p>
            <w:r/>
            <w:r>
              <w:rPr>
                <w:rFonts w:ascii="Aptos" w:hAnsi="Aptos"/>
                <w:b w:val="0"/>
                <w:sz w:val="17"/>
              </w:rPr>
              <w:t>Logging Layer</w:t>
            </w:r>
          </w:p>
        </w:tc>
        <w:tc>
          <w:tcPr>
            <w:tcW w:type="dxa" w:w="5184"/>
            <w:vAlign w:val="top"/>
          </w:tcPr>
          <w:p>
            <w:r/>
            <w:r>
              <w:rPr>
                <w:rFonts w:ascii="Aptos" w:hAnsi="Aptos"/>
                <w:b w:val="0"/>
                <w:sz w:val="17"/>
              </w:rPr>
              <w:t>Creates timestamped log with parameters, warnings, summary, errors, and duration.</w:t>
            </w:r>
          </w:p>
        </w:tc>
      </w:tr>
    </w:tbl>
    <w:p/>
    <w:p>
      <w:pPr>
        <w:pStyle w:val="Heading1"/>
      </w:pPr>
      <w:r>
        <w:t>3. Script Component Model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rFonts w:ascii="Aptos" w:hAnsi="Aptos"/>
                <w:b/>
                <w:color w:val="FFFFFF"/>
                <w:sz w:val="17"/>
              </w:rPr>
              <w:t>Script</w:t>
            </w:r>
          </w:p>
        </w:tc>
        <w:tc>
          <w:tcPr>
            <w:tcW w:type="dxa" w:w="2592"/>
            <w:vAlign w:val="top"/>
            <w:shd w:fill="1F4E79"/>
          </w:tcPr>
          <w:p>
            <w:r/>
            <w:r>
              <w:rPr>
                <w:rFonts w:ascii="Aptos" w:hAnsi="Aptos"/>
                <w:b/>
                <w:color w:val="FFFFFF"/>
                <w:sz w:val="17"/>
              </w:rPr>
              <w:t>Input Sources</w:t>
            </w:r>
          </w:p>
        </w:tc>
        <w:tc>
          <w:tcPr>
            <w:tcW w:type="dxa" w:w="2592"/>
            <w:vAlign w:val="top"/>
            <w:shd w:fill="1F4E79"/>
          </w:tcPr>
          <w:p>
            <w:r/>
            <w:r>
              <w:rPr>
                <w:rFonts w:ascii="Aptos" w:hAnsi="Aptos"/>
                <w:b/>
                <w:color w:val="FFFFFF"/>
                <w:sz w:val="17"/>
              </w:rPr>
              <w:t>Main Engines Used</w:t>
            </w:r>
          </w:p>
        </w:tc>
        <w:tc>
          <w:tcPr>
            <w:tcW w:type="dxa" w:w="2592"/>
            <w:vAlign w:val="top"/>
            <w:shd w:fill="1F4E79"/>
          </w:tcPr>
          <w:p>
            <w:r/>
            <w:r>
              <w:rPr>
                <w:rFonts w:ascii="Aptos" w:hAnsi="Aptos"/>
                <w:b/>
                <w:color w:val="FFFFFF"/>
                <w:sz w:val="17"/>
              </w:rPr>
              <w:t>Output</w:t>
            </w:r>
          </w:p>
        </w:tc>
      </w:tr>
      <w:tr>
        <w:tc>
          <w:tcPr>
            <w:tcW w:type="dxa" w:w="2592"/>
            <w:vAlign w:val="top"/>
          </w:tcPr>
          <w:p>
            <w:r/>
            <w:r>
              <w:rPr>
                <w:rFonts w:ascii="Aptos" w:hAnsi="Aptos"/>
                <w:b w:val="0"/>
                <w:sz w:val="17"/>
              </w:rPr>
              <w:t>eMAS-PreSalesAssessment.ps1</w:t>
            </w:r>
          </w:p>
        </w:tc>
        <w:tc>
          <w:tcPr>
            <w:tcW w:type="dxa" w:w="2592"/>
            <w:vAlign w:val="top"/>
          </w:tcPr>
          <w:p>
            <w:r/>
            <w:r>
              <w:rPr>
                <w:rFonts w:ascii="Aptos" w:hAnsi="Aptos"/>
                <w:b w:val="0"/>
                <w:sz w:val="17"/>
              </w:rPr>
              <w:t>ExportRoot, ArchiveRoot, StorageRoot, DatabaseInfo, MappingWorkbook, ScoringConfigCsv.</w:t>
            </w:r>
          </w:p>
        </w:tc>
        <w:tc>
          <w:tcPr>
            <w:tcW w:type="dxa" w:w="2592"/>
            <w:vAlign w:val="top"/>
          </w:tcPr>
          <w:p>
            <w:r/>
            <w:r>
              <w:rPr>
                <w:rFonts w:ascii="Aptos" w:hAnsi="Aptos"/>
                <w:b w:val="0"/>
                <w:sz w:val="17"/>
              </w:rPr>
              <w:t>Discovery, mapping, classification, folder validation, effort scoring, report engine.</w:t>
            </w:r>
          </w:p>
        </w:tc>
        <w:tc>
          <w:tcPr>
            <w:tcW w:type="dxa" w:w="2592"/>
            <w:vAlign w:val="top"/>
          </w:tcPr>
          <w:p>
            <w:r/>
            <w:r>
              <w:rPr>
                <w:rFonts w:ascii="Aptos" w:hAnsi="Aptos"/>
                <w:b w:val="0"/>
                <w:sz w:val="17"/>
              </w:rPr>
              <w:t>Pre-sales assessment workbook and log.</w:t>
            </w:r>
          </w:p>
        </w:tc>
      </w:tr>
      <w:tr>
        <w:tc>
          <w:tcPr>
            <w:tcW w:type="dxa" w:w="2592"/>
            <w:vAlign w:val="top"/>
          </w:tcPr>
          <w:p>
            <w:r/>
            <w:r>
              <w:rPr>
                <w:rFonts w:ascii="Aptos" w:hAnsi="Aptos"/>
                <w:b w:val="0"/>
                <w:sz w:val="17"/>
              </w:rPr>
              <w:t>eMAS-MigrationReadiness.ps1</w:t>
            </w:r>
          </w:p>
        </w:tc>
        <w:tc>
          <w:tcPr>
            <w:tcW w:type="dxa" w:w="2592"/>
            <w:vAlign w:val="top"/>
          </w:tcPr>
          <w:p>
            <w:r/>
            <w:r>
              <w:rPr>
                <w:rFonts w:ascii="Aptos" w:hAnsi="Aptos"/>
                <w:b w:val="0"/>
                <w:sz w:val="17"/>
              </w:rPr>
              <w:t>ExportRoot, ArchiveRoot, StorageRoot, backup/access inputs, mapping workbook, accepted exceptions.</w:t>
            </w:r>
          </w:p>
        </w:tc>
        <w:tc>
          <w:tcPr>
            <w:tcW w:type="dxa" w:w="2592"/>
            <w:vAlign w:val="top"/>
          </w:tcPr>
          <w:p>
            <w:r/>
            <w:r>
              <w:rPr>
                <w:rFonts w:ascii="Aptos" w:hAnsi="Aptos"/>
                <w:b w:val="0"/>
                <w:sz w:val="17"/>
              </w:rPr>
              <w:t>Discovery, readiness validation, cleanup action engine, baseline generator, report engine.</w:t>
            </w:r>
          </w:p>
        </w:tc>
        <w:tc>
          <w:tcPr>
            <w:tcW w:type="dxa" w:w="2592"/>
            <w:vAlign w:val="top"/>
          </w:tcPr>
          <w:p>
            <w:r/>
            <w:r>
              <w:rPr>
                <w:rFonts w:ascii="Aptos" w:hAnsi="Aptos"/>
                <w:b w:val="0"/>
                <w:sz w:val="17"/>
              </w:rPr>
              <w:t>Migration readiness workbook and log.</w:t>
            </w:r>
          </w:p>
        </w:tc>
      </w:tr>
      <w:tr>
        <w:tc>
          <w:tcPr>
            <w:tcW w:type="dxa" w:w="2592"/>
            <w:vAlign w:val="top"/>
          </w:tcPr>
          <w:p>
            <w:r/>
            <w:r>
              <w:rPr>
                <w:rFonts w:ascii="Aptos" w:hAnsi="Aptos"/>
                <w:b w:val="0"/>
                <w:sz w:val="17"/>
              </w:rPr>
              <w:t>eMAS-PostMigrationVerification.ps1</w:t>
            </w:r>
          </w:p>
        </w:tc>
        <w:tc>
          <w:tcPr>
            <w:tcW w:type="dxa" w:w="2592"/>
            <w:vAlign w:val="top"/>
          </w:tcPr>
          <w:p>
            <w:r/>
            <w:r>
              <w:rPr>
                <w:rFonts w:ascii="Aptos" w:hAnsi="Aptos"/>
                <w:b w:val="0"/>
                <w:sz w:val="17"/>
              </w:rPr>
              <w:t>PreMigrationReportPath, MigrationSummaryPath, accepted exceptions CSV, sheet names.</w:t>
            </w:r>
          </w:p>
        </w:tc>
        <w:tc>
          <w:tcPr>
            <w:tcW w:type="dxa" w:w="2592"/>
            <w:vAlign w:val="top"/>
          </w:tcPr>
          <w:p>
            <w:r/>
            <w:r>
              <w:rPr>
                <w:rFonts w:ascii="Aptos" w:hAnsi="Aptos"/>
                <w:b w:val="0"/>
                <w:sz w:val="17"/>
              </w:rPr>
              <w:t>Baseline reader, import evidence classifier, post-import reader, reconciliation engine, report engine.</w:t>
            </w:r>
          </w:p>
        </w:tc>
        <w:tc>
          <w:tcPr>
            <w:tcW w:type="dxa" w:w="2592"/>
            <w:vAlign w:val="top"/>
          </w:tcPr>
          <w:p>
            <w:r/>
            <w:r>
              <w:rPr>
                <w:rFonts w:ascii="Aptos" w:hAnsi="Aptos"/>
                <w:b w:val="0"/>
                <w:sz w:val="17"/>
              </w:rPr>
              <w:t>Post-migration verification workbook and log.</w:t>
            </w:r>
          </w:p>
        </w:tc>
      </w:tr>
    </w:tbl>
    <w:p/>
    <w:p>
      <w:pPr>
        <w:pStyle w:val="Heading1"/>
      </w:pPr>
      <w:r>
        <w:t>4. Data Flow</w:t>
      </w:r>
    </w:p>
    <w:p>
      <w:r>
        <w:t>Pre-sales and readiness scripts primarily collect evidence from source folders and optional sizing/database inputs. The post-migration script primarily consumes reports generated or provided after migration/import. It must not rely only on physical folder scanning.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rFonts w:ascii="Aptos" w:hAnsi="Aptos"/>
                <w:b/>
                <w:color w:val="FFFFFF"/>
                <w:sz w:val="17"/>
              </w:rPr>
              <w:t>Step</w:t>
            </w:r>
          </w:p>
        </w:tc>
        <w:tc>
          <w:tcPr>
            <w:tcW w:type="dxa" w:w="2592"/>
            <w:vAlign w:val="top"/>
            <w:shd w:fill="1F4E79"/>
          </w:tcPr>
          <w:p>
            <w:r/>
            <w:r>
              <w:rPr>
                <w:rFonts w:ascii="Aptos" w:hAnsi="Aptos"/>
                <w:b/>
                <w:color w:val="FFFFFF"/>
                <w:sz w:val="17"/>
              </w:rPr>
              <w:t>Pre-Sales</w:t>
            </w:r>
          </w:p>
        </w:tc>
        <w:tc>
          <w:tcPr>
            <w:tcW w:type="dxa" w:w="2592"/>
            <w:vAlign w:val="top"/>
            <w:shd w:fill="1F4E79"/>
          </w:tcPr>
          <w:p>
            <w:r/>
            <w:r>
              <w:rPr>
                <w:rFonts w:ascii="Aptos" w:hAnsi="Aptos"/>
                <w:b/>
                <w:color w:val="FFFFFF"/>
                <w:sz w:val="17"/>
              </w:rPr>
              <w:t>Readiness</w:t>
            </w:r>
          </w:p>
        </w:tc>
        <w:tc>
          <w:tcPr>
            <w:tcW w:type="dxa" w:w="2592"/>
            <w:vAlign w:val="top"/>
            <w:shd w:fill="1F4E79"/>
          </w:tcPr>
          <w:p>
            <w:r/>
            <w:r>
              <w:rPr>
                <w:rFonts w:ascii="Aptos" w:hAnsi="Aptos"/>
                <w:b/>
                <w:color w:val="FFFFFF"/>
                <w:sz w:val="17"/>
              </w:rPr>
              <w:t>Post-Migration</w:t>
            </w:r>
          </w:p>
        </w:tc>
      </w:tr>
      <w:tr>
        <w:tc>
          <w:tcPr>
            <w:tcW w:type="dxa" w:w="2592"/>
            <w:vAlign w:val="top"/>
          </w:tcPr>
          <w:p>
            <w:r/>
            <w:r>
              <w:rPr>
                <w:rFonts w:ascii="Aptos" w:hAnsi="Aptos"/>
                <w:b w:val="0"/>
                <w:sz w:val="17"/>
              </w:rPr>
              <w:t>1</w:t>
            </w:r>
          </w:p>
        </w:tc>
        <w:tc>
          <w:tcPr>
            <w:tcW w:type="dxa" w:w="2592"/>
            <w:vAlign w:val="top"/>
          </w:tcPr>
          <w:p>
            <w:r/>
            <w:r>
              <w:rPr>
                <w:rFonts w:ascii="Aptos" w:hAnsi="Aptos"/>
                <w:b w:val="0"/>
                <w:sz w:val="17"/>
              </w:rPr>
              <w:t>Read parameters and mapping workbook.</w:t>
            </w:r>
          </w:p>
        </w:tc>
        <w:tc>
          <w:tcPr>
            <w:tcW w:type="dxa" w:w="2592"/>
            <w:vAlign w:val="top"/>
          </w:tcPr>
          <w:p>
            <w:r/>
            <w:r>
              <w:rPr>
                <w:rFonts w:ascii="Aptos" w:hAnsi="Aptos"/>
                <w:b w:val="0"/>
                <w:sz w:val="17"/>
              </w:rPr>
              <w:t>Read parameters, mapping workbook, and exceptions.</w:t>
            </w:r>
          </w:p>
        </w:tc>
        <w:tc>
          <w:tcPr>
            <w:tcW w:type="dxa" w:w="2592"/>
            <w:vAlign w:val="top"/>
          </w:tcPr>
          <w:p>
            <w:r/>
            <w:r>
              <w:rPr>
                <w:rFonts w:ascii="Aptos" w:hAnsi="Aptos"/>
                <w:b w:val="0"/>
                <w:sz w:val="17"/>
              </w:rPr>
              <w:t>Read baseline workbook and MigrationSummary workbook.</w:t>
            </w:r>
          </w:p>
        </w:tc>
      </w:tr>
      <w:tr>
        <w:tc>
          <w:tcPr>
            <w:tcW w:type="dxa" w:w="2592"/>
            <w:vAlign w:val="top"/>
          </w:tcPr>
          <w:p>
            <w:r/>
            <w:r>
              <w:rPr>
                <w:rFonts w:ascii="Aptos" w:hAnsi="Aptos"/>
                <w:b w:val="0"/>
                <w:sz w:val="17"/>
              </w:rPr>
              <w:t>2</w:t>
            </w:r>
          </w:p>
        </w:tc>
        <w:tc>
          <w:tcPr>
            <w:tcW w:type="dxa" w:w="2592"/>
            <w:vAlign w:val="top"/>
          </w:tcPr>
          <w:p>
            <w:r/>
            <w:r>
              <w:rPr>
                <w:rFonts w:ascii="Aptos" w:hAnsi="Aptos"/>
                <w:b w:val="0"/>
                <w:sz w:val="17"/>
              </w:rPr>
              <w:t>Scan source/export/archive/storage roots.</w:t>
            </w:r>
          </w:p>
        </w:tc>
        <w:tc>
          <w:tcPr>
            <w:tcW w:type="dxa" w:w="2592"/>
            <w:vAlign w:val="top"/>
          </w:tcPr>
          <w:p>
            <w:r/>
            <w:r>
              <w:rPr>
                <w:rFonts w:ascii="Aptos" w:hAnsi="Aptos"/>
                <w:b w:val="0"/>
                <w:sz w:val="17"/>
              </w:rPr>
              <w:t>Perform deeper source checks and readiness checks.</w:t>
            </w:r>
          </w:p>
        </w:tc>
        <w:tc>
          <w:tcPr>
            <w:tcW w:type="dxa" w:w="2592"/>
            <w:vAlign w:val="top"/>
          </w:tcPr>
          <w:p>
            <w:r/>
            <w:r>
              <w:rPr>
                <w:rFonts w:ascii="Aptos" w:hAnsi="Aptos"/>
                <w:b w:val="0"/>
                <w:sz w:val="17"/>
              </w:rPr>
              <w:t>Parse Import Report Detail and Post Import Verification.</w:t>
            </w:r>
          </w:p>
        </w:tc>
      </w:tr>
      <w:tr>
        <w:tc>
          <w:tcPr>
            <w:tcW w:type="dxa" w:w="2592"/>
            <w:vAlign w:val="top"/>
          </w:tcPr>
          <w:p>
            <w:r/>
            <w:r>
              <w:rPr>
                <w:rFonts w:ascii="Aptos" w:hAnsi="Aptos"/>
                <w:b w:val="0"/>
                <w:sz w:val="17"/>
              </w:rPr>
              <w:t>3</w:t>
            </w:r>
          </w:p>
        </w:tc>
        <w:tc>
          <w:tcPr>
            <w:tcW w:type="dxa" w:w="2592"/>
            <w:vAlign w:val="top"/>
          </w:tcPr>
          <w:p>
            <w:r/>
            <w:r>
              <w:rPr>
                <w:rFonts w:ascii="Aptos" w:hAnsi="Aptos"/>
                <w:b w:val="0"/>
                <w:sz w:val="17"/>
              </w:rPr>
              <w:t>Classify dossiers and estimate scope.</w:t>
            </w:r>
          </w:p>
        </w:tc>
        <w:tc>
          <w:tcPr>
            <w:tcW w:type="dxa" w:w="2592"/>
            <w:vAlign w:val="top"/>
          </w:tcPr>
          <w:p>
            <w:r/>
            <w:r>
              <w:rPr>
                <w:rFonts w:ascii="Aptos" w:hAnsi="Aptos"/>
                <w:b w:val="0"/>
                <w:sz w:val="17"/>
              </w:rPr>
              <w:t>Build expected baseline and issue list.</w:t>
            </w:r>
          </w:p>
        </w:tc>
        <w:tc>
          <w:tcPr>
            <w:tcW w:type="dxa" w:w="2592"/>
            <w:vAlign w:val="top"/>
          </w:tcPr>
          <w:p>
            <w:r/>
            <w:r>
              <w:rPr>
                <w:rFonts w:ascii="Aptos" w:hAnsi="Aptos"/>
                <w:b w:val="0"/>
                <w:sz w:val="17"/>
              </w:rPr>
              <w:t>Reconcile expected vs imported result.</w:t>
            </w:r>
          </w:p>
        </w:tc>
      </w:tr>
      <w:tr>
        <w:tc>
          <w:tcPr>
            <w:tcW w:type="dxa" w:w="2592"/>
            <w:vAlign w:val="top"/>
          </w:tcPr>
          <w:p>
            <w:r/>
            <w:r>
              <w:rPr>
                <w:rFonts w:ascii="Aptos" w:hAnsi="Aptos"/>
                <w:b w:val="0"/>
                <w:sz w:val="17"/>
              </w:rPr>
              <w:t>4</w:t>
            </w:r>
          </w:p>
        </w:tc>
        <w:tc>
          <w:tcPr>
            <w:tcW w:type="dxa" w:w="2592"/>
            <w:vAlign w:val="top"/>
          </w:tcPr>
          <w:p>
            <w:r/>
            <w:r>
              <w:rPr>
                <w:rFonts w:ascii="Aptos" w:hAnsi="Aptos"/>
                <w:b w:val="0"/>
                <w:sz w:val="17"/>
              </w:rPr>
              <w:t>Calculate effort drivers and confidence.</w:t>
            </w:r>
          </w:p>
        </w:tc>
        <w:tc>
          <w:tcPr>
            <w:tcW w:type="dxa" w:w="2592"/>
            <w:vAlign w:val="top"/>
          </w:tcPr>
          <w:p>
            <w:r/>
            <w:r>
              <w:rPr>
                <w:rFonts w:ascii="Aptos" w:hAnsi="Aptos"/>
                <w:b w:val="0"/>
                <w:sz w:val="17"/>
              </w:rPr>
              <w:t>Calculate readiness decision and cleanup actions.</w:t>
            </w:r>
          </w:p>
        </w:tc>
        <w:tc>
          <w:tcPr>
            <w:tcW w:type="dxa" w:w="2592"/>
            <w:vAlign w:val="top"/>
          </w:tcPr>
          <w:p>
            <w:r/>
            <w:r>
              <w:rPr>
                <w:rFonts w:ascii="Aptos" w:hAnsi="Aptos"/>
                <w:b w:val="0"/>
                <w:sz w:val="17"/>
              </w:rPr>
              <w:t>Classify discrepancies and accepted exceptions.</w:t>
            </w:r>
          </w:p>
        </w:tc>
      </w:tr>
      <w:tr>
        <w:tc>
          <w:tcPr>
            <w:tcW w:type="dxa" w:w="2592"/>
            <w:vAlign w:val="top"/>
          </w:tcPr>
          <w:p>
            <w:r/>
            <w:r>
              <w:rPr>
                <w:rFonts w:ascii="Aptos" w:hAnsi="Aptos"/>
                <w:b w:val="0"/>
                <w:sz w:val="17"/>
              </w:rPr>
              <w:t>5</w:t>
            </w:r>
          </w:p>
        </w:tc>
        <w:tc>
          <w:tcPr>
            <w:tcW w:type="dxa" w:w="2592"/>
            <w:vAlign w:val="top"/>
          </w:tcPr>
          <w:p>
            <w:r/>
            <w:r>
              <w:rPr>
                <w:rFonts w:ascii="Aptos" w:hAnsi="Aptos"/>
                <w:b w:val="0"/>
                <w:sz w:val="17"/>
              </w:rPr>
              <w:t>Generate workbook and log.</w:t>
            </w:r>
          </w:p>
        </w:tc>
        <w:tc>
          <w:tcPr>
            <w:tcW w:type="dxa" w:w="2592"/>
            <w:vAlign w:val="top"/>
          </w:tcPr>
          <w:p>
            <w:r/>
            <w:r>
              <w:rPr>
                <w:rFonts w:ascii="Aptos" w:hAnsi="Aptos"/>
                <w:b w:val="0"/>
                <w:sz w:val="17"/>
              </w:rPr>
              <w:t>Generate workbook and log.</w:t>
            </w:r>
          </w:p>
        </w:tc>
        <w:tc>
          <w:tcPr>
            <w:tcW w:type="dxa" w:w="2592"/>
            <w:vAlign w:val="top"/>
          </w:tcPr>
          <w:p>
            <w:r/>
            <w:r>
              <w:rPr>
                <w:rFonts w:ascii="Aptos" w:hAnsi="Aptos"/>
                <w:b w:val="0"/>
                <w:sz w:val="17"/>
              </w:rPr>
              <w:t>Generate workbook and log with raw evidence sheets when included.</w:t>
            </w:r>
          </w:p>
        </w:tc>
      </w:tr>
    </w:tbl>
    <w:p/>
    <w:p>
      <w:pPr>
        <w:pStyle w:val="Heading1"/>
      </w:pPr>
      <w:r>
        <w:t>5. Shared Function Families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rFonts w:ascii="Aptos" w:hAnsi="Aptos"/>
                <w:b/>
                <w:color w:val="FFFFFF"/>
                <w:sz w:val="17"/>
              </w:rPr>
              <w:t>Function Family</w:t>
            </w:r>
          </w:p>
        </w:tc>
        <w:tc>
          <w:tcPr>
            <w:tcW w:type="dxa" w:w="3456"/>
            <w:vAlign w:val="top"/>
            <w:shd w:fill="1F4E79"/>
          </w:tcPr>
          <w:p>
            <w:r/>
            <w:r>
              <w:rPr>
                <w:rFonts w:ascii="Aptos" w:hAnsi="Aptos"/>
                <w:b/>
                <w:color w:val="FFFFFF"/>
                <w:sz w:val="17"/>
              </w:rPr>
              <w:t>Example Functions</w:t>
            </w:r>
          </w:p>
        </w:tc>
        <w:tc>
          <w:tcPr>
            <w:tcW w:type="dxa" w:w="3456"/>
            <w:vAlign w:val="top"/>
            <w:shd w:fill="1F4E79"/>
          </w:tcPr>
          <w:p>
            <w:r/>
            <w:r>
              <w:rPr>
                <w:rFonts w:ascii="Aptos" w:hAnsi="Aptos"/>
                <w:b/>
                <w:color w:val="FFFFFF"/>
                <w:sz w:val="17"/>
              </w:rPr>
              <w:t>Purpose</w:t>
            </w:r>
          </w:p>
        </w:tc>
      </w:tr>
      <w:tr>
        <w:tc>
          <w:tcPr>
            <w:tcW w:type="dxa" w:w="3456"/>
            <w:vAlign w:val="top"/>
          </w:tcPr>
          <w:p>
            <w:r/>
            <w:r>
              <w:rPr>
                <w:rFonts w:ascii="Aptos" w:hAnsi="Aptos"/>
                <w:b w:val="0"/>
                <w:sz w:val="17"/>
              </w:rPr>
              <w:t>Configuration</w:t>
            </w:r>
          </w:p>
        </w:tc>
        <w:tc>
          <w:tcPr>
            <w:tcW w:type="dxa" w:w="3456"/>
            <w:vAlign w:val="top"/>
          </w:tcPr>
          <w:p>
            <w:r/>
            <w:r>
              <w:rPr>
                <w:rFonts w:ascii="Aptos" w:hAnsi="Aptos"/>
                <w:b w:val="0"/>
                <w:sz w:val="17"/>
              </w:rPr>
              <w:t>Import-eMASMappingWorkbook, Import-eMASScoringConfig, Resolve-eMASDefaults</w:t>
            </w:r>
          </w:p>
        </w:tc>
        <w:tc>
          <w:tcPr>
            <w:tcW w:type="dxa" w:w="3456"/>
            <w:vAlign w:val="top"/>
          </w:tcPr>
          <w:p>
            <w:r/>
            <w:r>
              <w:rPr>
                <w:rFonts w:ascii="Aptos" w:hAnsi="Aptos"/>
                <w:b w:val="0"/>
                <w:sz w:val="17"/>
              </w:rPr>
              <w:t>Load mappings, thresholds, defaults, and customer configuration.</w:t>
            </w:r>
          </w:p>
        </w:tc>
      </w:tr>
      <w:tr>
        <w:tc>
          <w:tcPr>
            <w:tcW w:type="dxa" w:w="3456"/>
            <w:vAlign w:val="top"/>
          </w:tcPr>
          <w:p>
            <w:r/>
            <w:r>
              <w:rPr>
                <w:rFonts w:ascii="Aptos" w:hAnsi="Aptos"/>
                <w:b w:val="0"/>
                <w:sz w:val="17"/>
              </w:rPr>
              <w:t>Discovery</w:t>
            </w:r>
          </w:p>
        </w:tc>
        <w:tc>
          <w:tcPr>
            <w:tcW w:type="dxa" w:w="3456"/>
            <w:vAlign w:val="top"/>
          </w:tcPr>
          <w:p>
            <w:r/>
            <w:r>
              <w:rPr>
                <w:rFonts w:ascii="Aptos" w:hAnsi="Aptos"/>
                <w:b w:val="0"/>
                <w:sz w:val="17"/>
              </w:rPr>
              <w:t>Get-eMASFolderInventory, Get-eMASSequenceFolders, Get-eMASFileTypeBreakdown</w:t>
            </w:r>
          </w:p>
        </w:tc>
        <w:tc>
          <w:tcPr>
            <w:tcW w:type="dxa" w:w="3456"/>
            <w:vAlign w:val="top"/>
          </w:tcPr>
          <w:p>
            <w:r/>
            <w:r>
              <w:rPr>
                <w:rFonts w:ascii="Aptos" w:hAnsi="Aptos"/>
                <w:b w:val="0"/>
                <w:sz w:val="17"/>
              </w:rPr>
              <w:t>Enumerate physical evidence.</w:t>
            </w:r>
          </w:p>
        </w:tc>
      </w:tr>
      <w:tr>
        <w:tc>
          <w:tcPr>
            <w:tcW w:type="dxa" w:w="3456"/>
            <w:vAlign w:val="top"/>
          </w:tcPr>
          <w:p>
            <w:r/>
            <w:r>
              <w:rPr>
                <w:rFonts w:ascii="Aptos" w:hAnsi="Aptos"/>
                <w:b w:val="0"/>
                <w:sz w:val="17"/>
              </w:rPr>
              <w:t>Classification</w:t>
            </w:r>
          </w:p>
        </w:tc>
        <w:tc>
          <w:tcPr>
            <w:tcW w:type="dxa" w:w="3456"/>
            <w:vAlign w:val="top"/>
          </w:tcPr>
          <w:p>
            <w:r/>
            <w:r>
              <w:rPr>
                <w:rFonts w:ascii="Aptos" w:hAnsi="Aptos"/>
                <w:b w:val="0"/>
                <w:sz w:val="17"/>
              </w:rPr>
              <w:t>Get-DossierClassification, Get-Region, Get-Format, Get-Type</w:t>
            </w:r>
          </w:p>
        </w:tc>
        <w:tc>
          <w:tcPr>
            <w:tcW w:type="dxa" w:w="3456"/>
            <w:vAlign w:val="top"/>
          </w:tcPr>
          <w:p>
            <w:r/>
            <w:r>
              <w:rPr>
                <w:rFonts w:ascii="Aptos" w:hAnsi="Aptos"/>
                <w:b w:val="0"/>
                <w:sz w:val="17"/>
              </w:rPr>
              <w:t>Determine dossier classification using mapping rules.</w:t>
            </w:r>
          </w:p>
        </w:tc>
      </w:tr>
      <w:tr>
        <w:tc>
          <w:tcPr>
            <w:tcW w:type="dxa" w:w="3456"/>
            <w:vAlign w:val="top"/>
          </w:tcPr>
          <w:p>
            <w:r/>
            <w:r>
              <w:rPr>
                <w:rFonts w:ascii="Aptos" w:hAnsi="Aptos"/>
                <w:b w:val="0"/>
                <w:sz w:val="17"/>
              </w:rPr>
              <w:t>Validation</w:t>
            </w:r>
          </w:p>
        </w:tc>
        <w:tc>
          <w:tcPr>
            <w:tcW w:type="dxa" w:w="3456"/>
            <w:vAlign w:val="top"/>
          </w:tcPr>
          <w:p>
            <w:r/>
            <w:r>
              <w:rPr>
                <w:rFonts w:ascii="Aptos" w:hAnsi="Aptos"/>
                <w:b w:val="0"/>
                <w:sz w:val="17"/>
              </w:rPr>
              <w:t>Get-FolderValidation, Test-MandatoryFiles, Test-ReferencedFiles</w:t>
            </w:r>
          </w:p>
        </w:tc>
        <w:tc>
          <w:tcPr>
            <w:tcW w:type="dxa" w:w="3456"/>
            <w:vAlign w:val="top"/>
          </w:tcPr>
          <w:p>
            <w:r/>
            <w:r>
              <w:rPr>
                <w:rFonts w:ascii="Aptos" w:hAnsi="Aptos"/>
                <w:b w:val="0"/>
                <w:sz w:val="17"/>
              </w:rPr>
              <w:t>Apply RAG and readiness checks.</w:t>
            </w:r>
          </w:p>
        </w:tc>
      </w:tr>
      <w:tr>
        <w:tc>
          <w:tcPr>
            <w:tcW w:type="dxa" w:w="3456"/>
            <w:vAlign w:val="top"/>
          </w:tcPr>
          <w:p>
            <w:r/>
            <w:r>
              <w:rPr>
                <w:rFonts w:ascii="Aptos" w:hAnsi="Aptos"/>
                <w:b w:val="0"/>
                <w:sz w:val="17"/>
              </w:rPr>
              <w:t>Effort</w:t>
            </w:r>
          </w:p>
        </w:tc>
        <w:tc>
          <w:tcPr>
            <w:tcW w:type="dxa" w:w="3456"/>
            <w:vAlign w:val="top"/>
          </w:tcPr>
          <w:p>
            <w:r/>
            <w:r>
              <w:rPr>
                <w:rFonts w:ascii="Aptos" w:hAnsi="Aptos"/>
                <w:b w:val="0"/>
                <w:sz w:val="17"/>
              </w:rPr>
              <w:t>Get-EffortDrivers, Get-StructureComplexity, Get-EstimateConfidence</w:t>
            </w:r>
          </w:p>
        </w:tc>
        <w:tc>
          <w:tcPr>
            <w:tcW w:type="dxa" w:w="3456"/>
            <w:vAlign w:val="top"/>
          </w:tcPr>
          <w:p>
            <w:r/>
            <w:r>
              <w:rPr>
                <w:rFonts w:ascii="Aptos" w:hAnsi="Aptos"/>
                <w:b w:val="0"/>
                <w:sz w:val="17"/>
              </w:rPr>
              <w:t>Calculate pre-sales complexity and confidence.</w:t>
            </w:r>
          </w:p>
        </w:tc>
      </w:tr>
      <w:tr>
        <w:tc>
          <w:tcPr>
            <w:tcW w:type="dxa" w:w="3456"/>
            <w:vAlign w:val="top"/>
          </w:tcPr>
          <w:p>
            <w:r/>
            <w:r>
              <w:rPr>
                <w:rFonts w:ascii="Aptos" w:hAnsi="Aptos"/>
                <w:b w:val="0"/>
                <w:sz w:val="17"/>
              </w:rPr>
              <w:t>Reconciliation</w:t>
            </w:r>
          </w:p>
        </w:tc>
        <w:tc>
          <w:tcPr>
            <w:tcW w:type="dxa" w:w="3456"/>
            <w:vAlign w:val="top"/>
          </w:tcPr>
          <w:p>
            <w:r/>
            <w:r>
              <w:rPr>
                <w:rFonts w:ascii="Aptos" w:hAnsi="Aptos"/>
                <w:b w:val="0"/>
                <w:sz w:val="17"/>
              </w:rPr>
              <w:t>Import-Baseline, Import-ImportReportDetail, Compare-DossierReconciliation</w:t>
            </w:r>
          </w:p>
        </w:tc>
        <w:tc>
          <w:tcPr>
            <w:tcW w:type="dxa" w:w="3456"/>
            <w:vAlign w:val="top"/>
          </w:tcPr>
          <w:p>
            <w:r/>
            <w:r>
              <w:rPr>
                <w:rFonts w:ascii="Aptos" w:hAnsi="Aptos"/>
                <w:b w:val="0"/>
                <w:sz w:val="17"/>
              </w:rPr>
              <w:t>Perform post-migration comparison.</w:t>
            </w:r>
          </w:p>
        </w:tc>
      </w:tr>
      <w:tr>
        <w:tc>
          <w:tcPr>
            <w:tcW w:type="dxa" w:w="3456"/>
            <w:vAlign w:val="top"/>
          </w:tcPr>
          <w:p>
            <w:r/>
            <w:r>
              <w:rPr>
                <w:rFonts w:ascii="Aptos" w:hAnsi="Aptos"/>
                <w:b w:val="0"/>
                <w:sz w:val="17"/>
              </w:rPr>
              <w:t>Reporting</w:t>
            </w:r>
          </w:p>
        </w:tc>
        <w:tc>
          <w:tcPr>
            <w:tcW w:type="dxa" w:w="3456"/>
            <w:vAlign w:val="top"/>
          </w:tcPr>
          <w:p>
            <w:r/>
            <w:r>
              <w:rPr>
                <w:rFonts w:ascii="Aptos" w:hAnsi="Aptos"/>
                <w:b w:val="0"/>
                <w:sz w:val="17"/>
              </w:rPr>
              <w:t>New-eMASWorkbook, Add-eMASWorksheet, Export-eMASWorkbook</w:t>
            </w:r>
          </w:p>
        </w:tc>
        <w:tc>
          <w:tcPr>
            <w:tcW w:type="dxa" w:w="3456"/>
            <w:vAlign w:val="top"/>
          </w:tcPr>
          <w:p>
            <w:r/>
            <w:r>
              <w:rPr>
                <w:rFonts w:ascii="Aptos" w:hAnsi="Aptos"/>
                <w:b w:val="0"/>
                <w:sz w:val="17"/>
              </w:rPr>
              <w:t>Generate styled XLSX without Excel automation.</w:t>
            </w:r>
          </w:p>
        </w:tc>
      </w:tr>
      <w:tr>
        <w:tc>
          <w:tcPr>
            <w:tcW w:type="dxa" w:w="3456"/>
            <w:vAlign w:val="top"/>
          </w:tcPr>
          <w:p>
            <w:r/>
            <w:r>
              <w:rPr>
                <w:rFonts w:ascii="Aptos" w:hAnsi="Aptos"/>
                <w:b w:val="0"/>
                <w:sz w:val="17"/>
              </w:rPr>
              <w:t>Logging</w:t>
            </w:r>
          </w:p>
        </w:tc>
        <w:tc>
          <w:tcPr>
            <w:tcW w:type="dxa" w:w="3456"/>
            <w:vAlign w:val="top"/>
          </w:tcPr>
          <w:p>
            <w:r/>
            <w:r>
              <w:rPr>
                <w:rFonts w:ascii="Aptos" w:hAnsi="Aptos"/>
                <w:b w:val="0"/>
                <w:sz w:val="17"/>
              </w:rPr>
              <w:t>New-eMASLog, Write-eMASLogEntry, Complete-eMASLog</w:t>
            </w:r>
          </w:p>
        </w:tc>
        <w:tc>
          <w:tcPr>
            <w:tcW w:type="dxa" w:w="3456"/>
            <w:vAlign w:val="top"/>
          </w:tcPr>
          <w:p>
            <w:r/>
            <w:r>
              <w:rPr>
                <w:rFonts w:ascii="Aptos" w:hAnsi="Aptos"/>
                <w:b w:val="0"/>
                <w:sz w:val="17"/>
              </w:rPr>
              <w:t>Create timestamped logs.</w:t>
            </w:r>
          </w:p>
        </w:tc>
      </w:tr>
    </w:tbl>
    <w:p/>
    <w:p>
      <w:pPr>
        <w:pStyle w:val="Heading1"/>
      </w:pPr>
      <w:r>
        <w:t>6. Mapping Workbook Dependency</w:t>
      </w:r>
    </w:p>
    <w:tbl>
      <w:tblPr>
        <w:tblStyle w:val="TableGrid"/>
        <w:tblW w:type="auto" w:w="0"/>
        <w:tblLook w:firstColumn="1" w:firstRow="1" w:lastColumn="0" w:lastRow="0" w:noHBand="0" w:noVBand="1" w:val="04A0"/>
      </w:tblPr>
      <w:tblGrid>
        <w:gridCol w:w="10368"/>
      </w:tblGrid>
      <w:tr>
        <w:tc>
          <w:tcPr>
            <w:tcW w:type="dxa" w:w="10368"/>
            <w:shd w:fill="FFF2CC"/>
          </w:tcPr>
          <w:p>
            <w:r/>
            <w:r>
              <w:rPr>
                <w:rFonts w:ascii="Aptos" w:hAnsi="Aptos"/>
                <w:b/>
                <w:sz w:val="18"/>
              </w:rPr>
              <w:t xml:space="preserve">Design Rule: </w:t>
            </w:r>
            <w:r>
              <w:rPr>
                <w:rFonts w:ascii="Aptos" w:hAnsi="Aptos"/>
                <w:sz w:val="18"/>
              </w:rPr>
              <w:t>PowerShell may contain technical parsing logic, but business interpretation must come from the mapping workbook. For example, the script may detect index.xml, m1, and regional XML files, but whether that combination is Green, Amber, Red, EU eCTD, ASMF, or Unknown must be determined through mapping rules.</w:t>
            </w:r>
          </w:p>
        </w:tc>
      </w:tr>
    </w:tbl>
    <w:p/>
    <w:p>
      <w:pPr>
        <w:pStyle w:val="Heading1"/>
      </w:pPr>
      <w:r>
        <w:t>7. Error Handling Architecture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rFonts w:ascii="Aptos" w:hAnsi="Aptos"/>
                <w:b/>
                <w:color w:val="FFFFFF"/>
                <w:sz w:val="17"/>
              </w:rPr>
              <w:t>Condition</w:t>
            </w:r>
          </w:p>
        </w:tc>
        <w:tc>
          <w:tcPr>
            <w:tcW w:type="dxa" w:w="5184"/>
            <w:vAlign w:val="top"/>
            <w:shd w:fill="1F4E79"/>
          </w:tcPr>
          <w:p>
            <w:r/>
            <w:r>
              <w:rPr>
                <w:rFonts w:ascii="Aptos" w:hAnsi="Aptos"/>
                <w:b/>
                <w:color w:val="FFFFFF"/>
                <w:sz w:val="17"/>
              </w:rPr>
              <w:t>Handling Rule</w:t>
            </w:r>
          </w:p>
        </w:tc>
      </w:tr>
      <w:tr>
        <w:tc>
          <w:tcPr>
            <w:tcW w:type="dxa" w:w="5184"/>
            <w:vAlign w:val="top"/>
          </w:tcPr>
          <w:p>
            <w:r/>
            <w:r>
              <w:rPr>
                <w:rFonts w:ascii="Aptos" w:hAnsi="Aptos"/>
                <w:b w:val="0"/>
                <w:sz w:val="17"/>
              </w:rPr>
              <w:t>Inaccessible path</w:t>
            </w:r>
          </w:p>
        </w:tc>
        <w:tc>
          <w:tcPr>
            <w:tcW w:type="dxa" w:w="5184"/>
            <w:vAlign w:val="top"/>
          </w:tcPr>
          <w:p>
            <w:r/>
            <w:r>
              <w:rPr>
                <w:rFonts w:ascii="Aptos" w:hAnsi="Aptos"/>
                <w:b w:val="0"/>
                <w:sz w:val="17"/>
              </w:rPr>
              <w:t>Log warning, continue where possible, add workbook finding.</w:t>
            </w:r>
          </w:p>
        </w:tc>
      </w:tr>
      <w:tr>
        <w:tc>
          <w:tcPr>
            <w:tcW w:type="dxa" w:w="5184"/>
            <w:vAlign w:val="top"/>
          </w:tcPr>
          <w:p>
            <w:r/>
            <w:r>
              <w:rPr>
                <w:rFonts w:ascii="Aptos" w:hAnsi="Aptos"/>
                <w:b w:val="0"/>
                <w:sz w:val="17"/>
              </w:rPr>
              <w:t>Missing mapping sheet</w:t>
            </w:r>
          </w:p>
        </w:tc>
        <w:tc>
          <w:tcPr>
            <w:tcW w:type="dxa" w:w="5184"/>
            <w:vAlign w:val="top"/>
          </w:tcPr>
          <w:p>
            <w:r/>
            <w:r>
              <w:rPr>
                <w:rFonts w:ascii="Aptos" w:hAnsi="Aptos"/>
                <w:b w:val="0"/>
                <w:sz w:val="17"/>
              </w:rPr>
              <w:t>Stop if mandatory; warn if optional and use Not Assessed where appropriate.</w:t>
            </w:r>
          </w:p>
        </w:tc>
      </w:tr>
      <w:tr>
        <w:tc>
          <w:tcPr>
            <w:tcW w:type="dxa" w:w="5184"/>
            <w:vAlign w:val="top"/>
          </w:tcPr>
          <w:p>
            <w:r/>
            <w:r>
              <w:rPr>
                <w:rFonts w:ascii="Aptos" w:hAnsi="Aptos"/>
                <w:b w:val="0"/>
                <w:sz w:val="17"/>
              </w:rPr>
              <w:t>Unreadable XML</w:t>
            </w:r>
          </w:p>
        </w:tc>
        <w:tc>
          <w:tcPr>
            <w:tcW w:type="dxa" w:w="5184"/>
            <w:vAlign w:val="top"/>
          </w:tcPr>
          <w:p>
            <w:r/>
            <w:r>
              <w:rPr>
                <w:rFonts w:ascii="Aptos" w:hAnsi="Aptos"/>
                <w:b w:val="0"/>
                <w:sz w:val="17"/>
              </w:rPr>
              <w:t>Log warning, mark XML readability issue, do not crash entire run.</w:t>
            </w:r>
          </w:p>
        </w:tc>
      </w:tr>
      <w:tr>
        <w:tc>
          <w:tcPr>
            <w:tcW w:type="dxa" w:w="5184"/>
            <w:vAlign w:val="top"/>
          </w:tcPr>
          <w:p>
            <w:r/>
            <w:r>
              <w:rPr>
                <w:rFonts w:ascii="Aptos" w:hAnsi="Aptos"/>
                <w:b w:val="0"/>
                <w:sz w:val="17"/>
              </w:rPr>
              <w:t>Unexpected workbook column</w:t>
            </w:r>
          </w:p>
        </w:tc>
        <w:tc>
          <w:tcPr>
            <w:tcW w:type="dxa" w:w="5184"/>
            <w:vAlign w:val="top"/>
          </w:tcPr>
          <w:p>
            <w:r/>
            <w:r>
              <w:rPr>
                <w:rFonts w:ascii="Aptos" w:hAnsi="Aptos"/>
                <w:b w:val="0"/>
                <w:sz w:val="17"/>
              </w:rPr>
              <w:t>Log warning, use configured aliases only when approved.</w:t>
            </w:r>
          </w:p>
        </w:tc>
      </w:tr>
      <w:tr>
        <w:tc>
          <w:tcPr>
            <w:tcW w:type="dxa" w:w="5184"/>
            <w:vAlign w:val="top"/>
          </w:tcPr>
          <w:p>
            <w:r/>
            <w:r>
              <w:rPr>
                <w:rFonts w:ascii="Aptos" w:hAnsi="Aptos"/>
                <w:b w:val="0"/>
                <w:sz w:val="17"/>
              </w:rPr>
              <w:t>Missing post-migration input sheet</w:t>
            </w:r>
          </w:p>
        </w:tc>
        <w:tc>
          <w:tcPr>
            <w:tcW w:type="dxa" w:w="5184"/>
            <w:vAlign w:val="top"/>
          </w:tcPr>
          <w:p>
            <w:r/>
            <w:r>
              <w:rPr>
                <w:rFonts w:ascii="Aptos" w:hAnsi="Aptos"/>
                <w:b w:val="0"/>
                <w:sz w:val="17"/>
              </w:rPr>
              <w:t>Stop post-migration script with clear error.</w:t>
            </w:r>
          </w:p>
        </w:tc>
      </w:tr>
      <w:tr>
        <w:tc>
          <w:tcPr>
            <w:tcW w:type="dxa" w:w="5184"/>
            <w:vAlign w:val="top"/>
          </w:tcPr>
          <w:p>
            <w:r/>
            <w:r>
              <w:rPr>
                <w:rFonts w:ascii="Aptos" w:hAnsi="Aptos"/>
                <w:b w:val="0"/>
                <w:sz w:val="17"/>
              </w:rPr>
              <w:t>Large repository</w:t>
            </w:r>
          </w:p>
        </w:tc>
        <w:tc>
          <w:tcPr>
            <w:tcW w:type="dxa" w:w="5184"/>
            <w:vAlign w:val="top"/>
          </w:tcPr>
          <w:p>
            <w:r/>
            <w:r>
              <w:rPr>
                <w:rFonts w:ascii="Aptos" w:hAnsi="Aptos"/>
                <w:b w:val="0"/>
                <w:sz w:val="17"/>
              </w:rPr>
              <w:t>Use aggregation and avoid storing unnecessary per-file details unless required by report.</w:t>
            </w:r>
          </w:p>
        </w:tc>
      </w:tr>
    </w:tbl>
    <w:p/>
    <w:p>
      <w:pPr>
        <w:pStyle w:val="Heading1"/>
      </w:pPr>
      <w:r>
        <w:t>8. Security and Safety</w:t>
      </w:r>
    </w:p>
    <w:p>
      <w:pPr>
        <w:pStyle w:val="ListBullet"/>
      </w:pPr>
      <w:r>
        <w:t>No delete, move, rename, import, database write, or source modification actions.</w:t>
      </w:r>
    </w:p>
    <w:p>
      <w:pPr>
        <w:pStyle w:val="ListBullet"/>
      </w:pPr>
      <w:r>
        <w:t>No automatic correction of source templates, including the DossierDirecotry column in Post Import Verification.</w:t>
      </w:r>
    </w:p>
    <w:p>
      <w:pPr>
        <w:pStyle w:val="ListBullet"/>
      </w:pPr>
      <w:r>
        <w:t>No credential capture in logs.</w:t>
      </w:r>
    </w:p>
    <w:p>
      <w:pPr>
        <w:pStyle w:val="ListBullet"/>
      </w:pPr>
      <w:r>
        <w:t>No sensitive content extraction beyond metadata needed for assessment.</w:t>
      </w:r>
    </w:p>
    <w:p>
      <w:pPr>
        <w:pStyle w:val="ListBullet"/>
      </w:pPr>
      <w:r>
        <w:t>Input paths and high-level metadata may be logged for traceability.</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EXTEDO | a cormeo brand | Confluence ID 1386873065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eMAS - eCTD Migration Assessment Script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