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EXTEDO | a cormeo brand</w:t>
      </w:r>
    </w:p>
    <w:p/>
    <w:p>
      <w:pPr>
        <w:jc w:val="center"/>
      </w:pPr>
      <w:r>
        <w:rPr>
          <w:b/>
          <w:color w:val="1F4E79"/>
          <w:sz w:val="44"/>
        </w:rPr>
        <w:t>eMAS Mapping Workbook Design Specification</w:t>
      </w:r>
    </w:p>
    <w:p>
      <w:pPr>
        <w:jc w:val="center"/>
      </w:pPr>
      <w:r>
        <w:rPr>
          <w:sz w:val="26"/>
        </w:rPr>
        <w:t>Source-of-truth workbook for rules, classification, validation, and effort scoring</w:t>
      </w:r>
    </w:p>
    <w:p/>
    <w:tbl>
      <w:tblPr>
        <w:tblStyle w:val="TableGrid"/>
        <w:tblW w:type="auto" w:w="0"/>
        <w:jc w:val="center"/>
        <w:tblLook w:firstColumn="1" w:firstRow="1" w:lastColumn="0" w:lastRow="0" w:noHBand="0" w:noVBand="1" w:val="04A0"/>
      </w:tblPr>
      <w:tblGrid>
        <w:gridCol w:w="6984"/>
        <w:gridCol w:w="6984"/>
      </w:tblGrid>
      <w:tr>
        <w:tc>
          <w:tcPr>
            <w:tcW w:type="dxa" w:w="6984"/>
            <w:vAlign w:val="top"/>
            <w:shd w:fill="D9EAF7"/>
          </w:tcPr>
          <w:p>
            <w:r/>
            <w:r>
              <w:rPr>
                <w:rFonts w:ascii="Aptos" w:hAnsi="Aptos"/>
                <w:b/>
                <w:sz w:val="18"/>
              </w:rPr>
              <w:t>Project</w:t>
            </w:r>
          </w:p>
        </w:tc>
        <w:tc>
          <w:tcPr>
            <w:tcW w:type="dxa" w:w="6984"/>
            <w:vAlign w:val="top"/>
          </w:tcPr>
          <w:p>
            <w:r/>
            <w:r>
              <w:rPr>
                <w:rFonts w:ascii="Aptos" w:hAnsi="Aptos"/>
                <w:b w:val="0"/>
                <w:sz w:val="18"/>
              </w:rPr>
              <w:t>eMAS - eCTD Migration Assessment Script</w:t>
            </w:r>
          </w:p>
        </w:tc>
      </w:tr>
      <w:tr>
        <w:tc>
          <w:tcPr>
            <w:tcW w:type="dxa" w:w="6984"/>
            <w:vAlign w:val="top"/>
            <w:shd w:fill="D9EAF7"/>
          </w:tcPr>
          <w:p>
            <w:r/>
            <w:r>
              <w:rPr>
                <w:rFonts w:ascii="Aptos" w:hAnsi="Aptos"/>
                <w:b/>
                <w:sz w:val="18"/>
              </w:rPr>
              <w:t>Document Version</w:t>
            </w:r>
          </w:p>
        </w:tc>
        <w:tc>
          <w:tcPr>
            <w:tcW w:type="dxa" w:w="6984"/>
            <w:vAlign w:val="top"/>
          </w:tcPr>
          <w:p>
            <w:r/>
            <w:r>
              <w:rPr>
                <w:rFonts w:ascii="Aptos" w:hAnsi="Aptos"/>
                <w:b w:val="0"/>
                <w:sz w:val="18"/>
              </w:rPr>
              <w:t>Version 2.0</w:t>
            </w:r>
          </w:p>
        </w:tc>
      </w:tr>
      <w:tr>
        <w:tc>
          <w:tcPr>
            <w:tcW w:type="dxa" w:w="6984"/>
            <w:vAlign w:val="top"/>
            <w:shd w:fill="D9EAF7"/>
          </w:tcPr>
          <w:p>
            <w:r/>
            <w:r>
              <w:rPr>
                <w:rFonts w:ascii="Aptos" w:hAnsi="Aptos"/>
                <w:b/>
                <w:sz w:val="18"/>
              </w:rPr>
              <w:t>Confluence Traceability ID</w:t>
            </w:r>
          </w:p>
        </w:tc>
        <w:tc>
          <w:tcPr>
            <w:tcW w:type="dxa" w:w="6984"/>
            <w:vAlign w:val="top"/>
          </w:tcPr>
          <w:p>
            <w:r/>
            <w:r>
              <w:rPr>
                <w:rFonts w:ascii="Aptos" w:hAnsi="Aptos"/>
                <w:b w:val="0"/>
                <w:sz w:val="18"/>
              </w:rPr>
              <w:t>1386873065</w:t>
            </w:r>
          </w:p>
        </w:tc>
      </w:tr>
      <w:tr>
        <w:tc>
          <w:tcPr>
            <w:tcW w:type="dxa" w:w="6984"/>
            <w:vAlign w:val="top"/>
            <w:shd w:fill="D9EAF7"/>
          </w:tcPr>
          <w:p>
            <w:r/>
            <w:r>
              <w:rPr>
                <w:rFonts w:ascii="Aptos" w:hAnsi="Aptos"/>
                <w:b/>
                <w:sz w:val="18"/>
              </w:rPr>
              <w:t>Status</w:t>
            </w:r>
          </w:p>
        </w:tc>
        <w:tc>
          <w:tcPr>
            <w:tcW w:type="dxa" w:w="6984"/>
            <w:vAlign w:val="top"/>
          </w:tcPr>
          <w:p>
            <w:r/>
            <w:r>
              <w:rPr>
                <w:rFonts w:ascii="Aptos" w:hAnsi="Aptos"/>
                <w:b w:val="0"/>
                <w:sz w:val="18"/>
              </w:rPr>
              <w:t>Draft for internal peer review</w:t>
            </w:r>
          </w:p>
        </w:tc>
      </w:tr>
      <w:tr>
        <w:tc>
          <w:tcPr>
            <w:tcW w:type="dxa" w:w="6984"/>
            <w:vAlign w:val="top"/>
            <w:shd w:fill="D9EAF7"/>
          </w:tcPr>
          <w:p>
            <w:r/>
            <w:r>
              <w:rPr>
                <w:rFonts w:ascii="Aptos" w:hAnsi="Aptos"/>
                <w:b/>
                <w:sz w:val="18"/>
              </w:rPr>
              <w:t>Generated Date</w:t>
            </w:r>
          </w:p>
        </w:tc>
        <w:tc>
          <w:tcPr>
            <w:tcW w:type="dxa" w:w="6984"/>
            <w:vAlign w:val="top"/>
          </w:tcPr>
          <w:p>
            <w:r/>
            <w:r>
              <w:rPr>
                <w:rFonts w:ascii="Aptos" w:hAnsi="Aptos"/>
                <w:b w:val="0"/>
                <w:sz w:val="18"/>
              </w:rPr>
              <w:t>10 July 2026</w:t>
            </w:r>
          </w:p>
        </w:tc>
      </w:tr>
      <w:tr>
        <w:tc>
          <w:tcPr>
            <w:tcW w:type="dxa" w:w="6984"/>
            <w:vAlign w:val="top"/>
            <w:shd w:fill="D9EAF7"/>
          </w:tcPr>
          <w:p>
            <w:r/>
            <w:r>
              <w:rPr>
                <w:rFonts w:ascii="Aptos" w:hAnsi="Aptos"/>
                <w:b/>
                <w:sz w:val="18"/>
              </w:rPr>
              <w:t>Document Control</w:t>
            </w:r>
          </w:p>
        </w:tc>
        <w:tc>
          <w:tcPr>
            <w:tcW w:type="dxa" w:w="6984"/>
            <w:vAlign w:val="top"/>
          </w:tcPr>
          <w:p>
            <w:r/>
            <w:r>
              <w:rPr>
                <w:rFonts w:ascii="Aptos" w:hAnsi="Aptos"/>
                <w:b w:val="0"/>
                <w:sz w:val="18"/>
              </w:rPr>
              <w:t>Prepared for EXTEDO eCTDmanager migration assessment design</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6984"/>
        <w:gridCol w:w="6984"/>
      </w:tblGrid>
      <w:tr>
        <w:tc>
          <w:tcPr>
            <w:tcW w:type="dxa" w:w="6984"/>
            <w:vAlign w:val="top"/>
            <w:shd w:fill="D9EAF7"/>
          </w:tcPr>
          <w:p>
            <w:r/>
            <w:r>
              <w:rPr>
                <w:rFonts w:ascii="Aptos" w:hAnsi="Aptos"/>
                <w:b/>
                <w:sz w:val="18"/>
              </w:rPr>
              <w:t>Purpose</w:t>
            </w:r>
          </w:p>
        </w:tc>
        <w:tc>
          <w:tcPr>
            <w:tcW w:type="dxa" w:w="6984"/>
            <w:vAlign w:val="top"/>
          </w:tcPr>
          <w:p>
            <w:r/>
            <w:r>
              <w:rPr>
                <w:rFonts w:ascii="Aptos" w:hAnsi="Aptos"/>
                <w:b w:val="0"/>
                <w:sz w:val="18"/>
              </w:rPr>
              <w:t>Defines the master mapping workbook structure and how scripts shall consume rule sheets for classification, folder validation, RAG status, confidence, recommendations, and effort drivers.</w:t>
            </w:r>
          </w:p>
        </w:tc>
      </w:tr>
      <w:tr>
        <w:tc>
          <w:tcPr>
            <w:tcW w:type="dxa" w:w="6984"/>
            <w:vAlign w:val="top"/>
            <w:shd w:fill="D9EAF7"/>
          </w:tcPr>
          <w:p>
            <w:r/>
            <w:r>
              <w:rPr>
                <w:rFonts w:ascii="Aptos" w:hAnsi="Aptos"/>
                <w:b/>
                <w:sz w:val="18"/>
              </w:rPr>
              <w:t>Audience</w:t>
            </w:r>
          </w:p>
        </w:tc>
        <w:tc>
          <w:tcPr>
            <w:tcW w:type="dxa" w:w="6984"/>
            <w:vAlign w:val="top"/>
          </w:tcPr>
          <w:p>
            <w:r/>
            <w:r>
              <w:rPr>
                <w:rFonts w:ascii="Aptos" w:hAnsi="Aptos"/>
                <w:b w:val="0"/>
                <w:sz w:val="18"/>
              </w:rPr>
              <w:t>Pre-sales, technical consultants, migration team, project management, validation stakeholders, and PowerShell developers.</w:t>
            </w:r>
          </w:p>
        </w:tc>
      </w:tr>
      <w:tr>
        <w:tc>
          <w:tcPr>
            <w:tcW w:type="dxa" w:w="6984"/>
            <w:vAlign w:val="top"/>
            <w:shd w:fill="D9EAF7"/>
          </w:tcPr>
          <w:p>
            <w:r/>
            <w:r>
              <w:rPr>
                <w:rFonts w:ascii="Aptos" w:hAnsi="Aptos"/>
                <w:b/>
                <w:sz w:val="18"/>
              </w:rPr>
              <w:t>Important Positioning</w:t>
            </w:r>
          </w:p>
        </w:tc>
        <w:tc>
          <w:tcPr>
            <w:tcW w:type="dxa" w:w="6984"/>
            <w:vAlign w:val="top"/>
          </w:tcPr>
          <w:p>
            <w:r/>
            <w:r>
              <w:rPr>
                <w:rFonts w:ascii="Aptos" w:hAnsi="Aptos"/>
                <w:b w:val="0"/>
                <w:sz w:val="18"/>
              </w:rPr>
              <w:t>eMAS is a professional, read-only, script-based assessment approach. It is not a migration execution tool, not an AI-based system, and not a replacement for regulatory or customer validation.</w:t>
            </w:r>
          </w:p>
        </w:tc>
      </w:tr>
      <w:tr>
        <w:tc>
          <w:tcPr>
            <w:tcW w:type="dxa" w:w="6984"/>
            <w:vAlign w:val="top"/>
            <w:shd w:fill="D9EAF7"/>
          </w:tcPr>
          <w:p>
            <w:r/>
            <w:r>
              <w:rPr>
                <w:rFonts w:ascii="Aptos" w:hAnsi="Aptos"/>
                <w:b/>
                <w:sz w:val="18"/>
              </w:rPr>
              <w:t>Branding</w:t>
            </w:r>
          </w:p>
        </w:tc>
        <w:tc>
          <w:tcPr>
            <w:tcW w:type="dxa" w:w="6984"/>
            <w:vAlign w:val="top"/>
          </w:tcPr>
          <w:p>
            <w:r/>
            <w:r>
              <w:rPr>
                <w:rFonts w:ascii="Aptos" w:hAnsi="Aptos"/>
                <w:b w:val="0"/>
                <w:sz w:val="18"/>
              </w:rPr>
              <w:t>EXTEDO | a cormeo brand</w:t>
            </w:r>
          </w:p>
        </w:tc>
      </w:tr>
      <w:tr>
        <w:tc>
          <w:tcPr>
            <w:tcW w:type="dxa" w:w="6984"/>
            <w:vAlign w:val="top"/>
            <w:shd w:fill="D9EAF7"/>
          </w:tcPr>
          <w:p>
            <w:r/>
            <w:r>
              <w:rPr>
                <w:rFonts w:ascii="Aptos" w:hAnsi="Aptos"/>
                <w:b/>
                <w:sz w:val="18"/>
              </w:rPr>
              <w:t>Traceability</w:t>
            </w:r>
          </w:p>
        </w:tc>
        <w:tc>
          <w:tcPr>
            <w:tcW w:type="dxa" w:w="6984"/>
            <w:vAlign w:val="top"/>
          </w:tcPr>
          <w:p>
            <w:r/>
            <w:r>
              <w:rPr>
                <w:rFonts w:ascii="Aptos" w:hAnsi="Aptos"/>
                <w:b w:val="0"/>
                <w:sz w:val="18"/>
              </w:rPr>
              <w:t>Confluence ID 1386873065</w:t>
            </w:r>
          </w:p>
        </w:tc>
      </w:tr>
    </w:tbl>
    <w:p/>
    <w:p>
      <w:pPr>
        <w:pStyle w:val="Heading2"/>
      </w:pPr>
      <w:r>
        <w:t>Revision History</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3492"/>
            <w:vAlign w:val="top"/>
            <w:shd w:fill="1F4E79"/>
          </w:tcPr>
          <w:p>
            <w:r/>
            <w:r>
              <w:rPr>
                <w:rFonts w:ascii="Aptos" w:hAnsi="Aptos"/>
                <w:b/>
                <w:color w:val="FFFFFF"/>
                <w:sz w:val="17"/>
              </w:rPr>
              <w:t>Version</w:t>
            </w:r>
          </w:p>
        </w:tc>
        <w:tc>
          <w:tcPr>
            <w:tcW w:type="dxa" w:w="3492"/>
            <w:vAlign w:val="top"/>
            <w:shd w:fill="1F4E79"/>
          </w:tcPr>
          <w:p>
            <w:r/>
            <w:r>
              <w:rPr>
                <w:rFonts w:ascii="Aptos" w:hAnsi="Aptos"/>
                <w:b/>
                <w:color w:val="FFFFFF"/>
                <w:sz w:val="17"/>
              </w:rPr>
              <w:t>Date</w:t>
            </w:r>
          </w:p>
        </w:tc>
        <w:tc>
          <w:tcPr>
            <w:tcW w:type="dxa" w:w="3492"/>
            <w:vAlign w:val="top"/>
            <w:shd w:fill="1F4E79"/>
          </w:tcPr>
          <w:p>
            <w:r/>
            <w:r>
              <w:rPr>
                <w:rFonts w:ascii="Aptos" w:hAnsi="Aptos"/>
                <w:b/>
                <w:color w:val="FFFFFF"/>
                <w:sz w:val="17"/>
              </w:rPr>
              <w:t>Change Summary</w:t>
            </w:r>
          </w:p>
        </w:tc>
        <w:tc>
          <w:tcPr>
            <w:tcW w:type="dxa" w:w="3492"/>
            <w:vAlign w:val="top"/>
            <w:shd w:fill="1F4E79"/>
          </w:tcPr>
          <w:p>
            <w:r/>
            <w:r>
              <w:rPr>
                <w:rFonts w:ascii="Aptos" w:hAnsi="Aptos"/>
                <w:b/>
                <w:color w:val="FFFFFF"/>
                <w:sz w:val="17"/>
              </w:rPr>
              <w:t>Owner</w:t>
            </w:r>
          </w:p>
        </w:tc>
      </w:tr>
      <w:tr>
        <w:tc>
          <w:tcPr>
            <w:tcW w:type="dxa" w:w="3492"/>
            <w:vAlign w:val="top"/>
          </w:tcPr>
          <w:p>
            <w:r/>
            <w:r>
              <w:rPr>
                <w:rFonts w:ascii="Aptos" w:hAnsi="Aptos"/>
                <w:b w:val="0"/>
                <w:sz w:val="17"/>
              </w:rPr>
              <w:t>1.0</w:t>
            </w:r>
          </w:p>
        </w:tc>
        <w:tc>
          <w:tcPr>
            <w:tcW w:type="dxa" w:w="3492"/>
            <w:vAlign w:val="top"/>
          </w:tcPr>
          <w:p>
            <w:r/>
            <w:r>
              <w:rPr>
                <w:rFonts w:ascii="Aptos" w:hAnsi="Aptos"/>
                <w:b w:val="0"/>
                <w:sz w:val="17"/>
              </w:rPr>
              <w:t>Earlier draft</w:t>
            </w:r>
          </w:p>
        </w:tc>
        <w:tc>
          <w:tcPr>
            <w:tcW w:type="dxa" w:w="3492"/>
            <w:vAlign w:val="top"/>
          </w:tcPr>
          <w:p>
            <w:r/>
            <w:r>
              <w:rPr>
                <w:rFonts w:ascii="Aptos" w:hAnsi="Aptos"/>
                <w:b w:val="0"/>
                <w:sz w:val="17"/>
              </w:rPr>
              <w:t>Initial prompt and pre-sales script design baseline.</w:t>
            </w:r>
          </w:p>
        </w:tc>
        <w:tc>
          <w:tcPr>
            <w:tcW w:type="dxa" w:w="3492"/>
            <w:vAlign w:val="top"/>
          </w:tcPr>
          <w:p>
            <w:r/>
            <w:r>
              <w:rPr>
                <w:rFonts w:ascii="Aptos" w:hAnsi="Aptos"/>
                <w:b w:val="0"/>
                <w:sz w:val="17"/>
              </w:rPr>
              <w:t>Project team</w:t>
            </w:r>
          </w:p>
        </w:tc>
      </w:tr>
      <w:tr>
        <w:tc>
          <w:tcPr>
            <w:tcW w:type="dxa" w:w="3492"/>
            <w:vAlign w:val="top"/>
          </w:tcPr>
          <w:p>
            <w:r/>
            <w:r>
              <w:rPr>
                <w:rFonts w:ascii="Aptos" w:hAnsi="Aptos"/>
                <w:b w:val="0"/>
                <w:sz w:val="17"/>
              </w:rPr>
              <w:t>2.0</w:t>
            </w:r>
          </w:p>
        </w:tc>
        <w:tc>
          <w:tcPr>
            <w:tcW w:type="dxa" w:w="3492"/>
            <w:vAlign w:val="top"/>
          </w:tcPr>
          <w:p>
            <w:r/>
            <w:r>
              <w:rPr>
                <w:rFonts w:ascii="Aptos" w:hAnsi="Aptos"/>
                <w:b w:val="0"/>
                <w:sz w:val="17"/>
              </w:rPr>
              <w:t>10 July 2026</w:t>
            </w:r>
          </w:p>
        </w:tc>
        <w:tc>
          <w:tcPr>
            <w:tcW w:type="dxa" w:w="3492"/>
            <w:vAlign w:val="top"/>
          </w:tcPr>
          <w:p>
            <w:r/>
            <w:r>
              <w:rPr>
                <w:rFonts w:ascii="Aptos" w:hAnsi="Aptos"/>
                <w:b w:val="0"/>
                <w:sz w:val="17"/>
              </w:rPr>
              <w:t>Consolidated documentation pack covering mapping-driven design, RAG folder validation, dossier classification, effort drivers, report specifications, development guide, testing, and user guidance.</w:t>
            </w:r>
          </w:p>
        </w:tc>
        <w:tc>
          <w:tcPr>
            <w:tcW w:type="dxa" w:w="3492"/>
            <w:vAlign w:val="top"/>
          </w:tcPr>
          <w:p>
            <w:r/>
            <w:r>
              <w:rPr>
                <w:rFonts w:ascii="Aptos" w:hAnsi="Aptos"/>
                <w:b w:val="0"/>
                <w:sz w:val="17"/>
              </w:rPr>
              <w:t>Project team</w:t>
            </w:r>
          </w:p>
        </w:tc>
      </w:tr>
    </w:tbl>
    <w:p/>
    <w:p>
      <w:pPr>
        <w:pStyle w:val="Heading1"/>
      </w:pPr>
      <w:r>
        <w:t>1. Mapping Workbook Purpose</w:t>
      </w:r>
    </w:p>
    <w:p>
      <w:r>
        <w:t>The master mapping workbook is the central source of truth for eMAS business logic. It allows regulatory, technical, and estimation rules to be updated without modifying PowerShell code. Scripts should only hardcode generic technical operations, such as reading folders and XML files; interpretation shall come from the mapping workbook.</w:t>
      </w:r>
    </w:p>
    <w:p>
      <w:pPr>
        <w:pStyle w:val="Heading1"/>
      </w:pPr>
      <w:r>
        <w:t>2. Required Sheets</w:t>
      </w:r>
    </w:p>
    <w:tbl>
      <w:tblPr>
        <w:tblStyle w:val="TableGrid"/>
        <w:tblW w:type="auto" w:w="0"/>
        <w:jc w:val="center"/>
        <w:tblLook w:firstColumn="1" w:firstRow="1" w:lastColumn="0" w:lastRow="0" w:noHBand="0" w:noVBand="1" w:val="04A0"/>
      </w:tblPr>
      <w:tblGrid>
        <w:gridCol w:w="6984"/>
        <w:gridCol w:w="6984"/>
      </w:tblGrid>
      <w:tr>
        <w:tc>
          <w:tcPr>
            <w:tcW w:type="dxa" w:w="6984"/>
            <w:vAlign w:val="top"/>
            <w:shd w:fill="1F4E79"/>
          </w:tcPr>
          <w:p>
            <w:r/>
            <w:r>
              <w:rPr>
                <w:rFonts w:ascii="Aptos" w:hAnsi="Aptos"/>
                <w:b/>
                <w:color w:val="FFFFFF"/>
                <w:sz w:val="16"/>
              </w:rPr>
              <w:t>Sheet</w:t>
            </w:r>
          </w:p>
        </w:tc>
        <w:tc>
          <w:tcPr>
            <w:tcW w:type="dxa" w:w="6984"/>
            <w:vAlign w:val="top"/>
            <w:shd w:fill="1F4E79"/>
          </w:tcPr>
          <w:p>
            <w:r/>
            <w:r>
              <w:rPr>
                <w:rFonts w:ascii="Aptos" w:hAnsi="Aptos"/>
                <w:b/>
                <w:color w:val="FFFFFF"/>
                <w:sz w:val="16"/>
              </w:rPr>
              <w:t>Purpose</w:t>
            </w:r>
          </w:p>
        </w:tc>
      </w:tr>
      <w:tr>
        <w:tc>
          <w:tcPr>
            <w:tcW w:type="dxa" w:w="6984"/>
            <w:vAlign w:val="top"/>
          </w:tcPr>
          <w:p>
            <w:r/>
            <w:r>
              <w:rPr>
                <w:rFonts w:ascii="Aptos" w:hAnsi="Aptos"/>
                <w:b w:val="0"/>
                <w:sz w:val="16"/>
              </w:rPr>
              <w:t>Workbook_Control</w:t>
            </w:r>
          </w:p>
        </w:tc>
        <w:tc>
          <w:tcPr>
            <w:tcW w:type="dxa" w:w="6984"/>
            <w:vAlign w:val="top"/>
          </w:tcPr>
          <w:p>
            <w:r/>
            <w:r>
              <w:rPr>
                <w:rFonts w:ascii="Aptos" w:hAnsi="Aptos"/>
                <w:b w:val="0"/>
                <w:sz w:val="16"/>
              </w:rPr>
              <w:t>Version, owner, effective date, status, change summary, validation status.</w:t>
            </w:r>
          </w:p>
        </w:tc>
      </w:tr>
      <w:tr>
        <w:tc>
          <w:tcPr>
            <w:tcW w:type="dxa" w:w="6984"/>
            <w:vAlign w:val="top"/>
          </w:tcPr>
          <w:p>
            <w:r/>
            <w:r>
              <w:rPr>
                <w:rFonts w:ascii="Aptos" w:hAnsi="Aptos"/>
                <w:b w:val="0"/>
                <w:sz w:val="16"/>
              </w:rPr>
              <w:t>Regions</w:t>
            </w:r>
          </w:p>
        </w:tc>
        <w:tc>
          <w:tcPr>
            <w:tcW w:type="dxa" w:w="6984"/>
            <w:vAlign w:val="top"/>
          </w:tcPr>
          <w:p>
            <w:r/>
            <w:r>
              <w:rPr>
                <w:rFonts w:ascii="Aptos" w:hAnsi="Aptos"/>
                <w:b w:val="0"/>
                <w:sz w:val="16"/>
              </w:rPr>
              <w:t>Supported regions, authority indicators, folder indicators, XML indicators, confidence weights.</w:t>
            </w:r>
          </w:p>
        </w:tc>
      </w:tr>
      <w:tr>
        <w:tc>
          <w:tcPr>
            <w:tcW w:type="dxa" w:w="6984"/>
            <w:vAlign w:val="top"/>
          </w:tcPr>
          <w:p>
            <w:r/>
            <w:r>
              <w:rPr>
                <w:rFonts w:ascii="Aptos" w:hAnsi="Aptos"/>
                <w:b w:val="0"/>
                <w:sz w:val="16"/>
              </w:rPr>
              <w:t>Formats</w:t>
            </w:r>
          </w:p>
        </w:tc>
        <w:tc>
          <w:tcPr>
            <w:tcW w:type="dxa" w:w="6984"/>
            <w:vAlign w:val="top"/>
          </w:tcPr>
          <w:p>
            <w:r/>
            <w:r>
              <w:rPr>
                <w:rFonts w:ascii="Aptos" w:hAnsi="Aptos"/>
                <w:b w:val="0"/>
                <w:sz w:val="16"/>
              </w:rPr>
              <w:t>Supported formats such as EU eCTD, US FDA eCTD, ICH eCTD 3.2.2, eCTD 4.0, NeeS, VNeeS, ASMF, Medical Device Technical File, Paper, Unknown.</w:t>
            </w:r>
          </w:p>
        </w:tc>
      </w:tr>
      <w:tr>
        <w:tc>
          <w:tcPr>
            <w:tcW w:type="dxa" w:w="6984"/>
            <w:vAlign w:val="top"/>
          </w:tcPr>
          <w:p>
            <w:r/>
            <w:r>
              <w:rPr>
                <w:rFonts w:ascii="Aptos" w:hAnsi="Aptos"/>
                <w:b w:val="0"/>
                <w:sz w:val="16"/>
              </w:rPr>
              <w:t>Dossier_Types</w:t>
            </w:r>
          </w:p>
        </w:tc>
        <w:tc>
          <w:tcPr>
            <w:tcW w:type="dxa" w:w="6984"/>
            <w:vAlign w:val="top"/>
          </w:tcPr>
          <w:p>
            <w:r/>
            <w:r>
              <w:rPr>
                <w:rFonts w:ascii="Aptos" w:hAnsi="Aptos"/>
                <w:b w:val="0"/>
                <w:sz w:val="16"/>
              </w:rPr>
              <w:t>Human, Veterinary, Investigational, Post Marketing, Medical Device, Biologics, Vaccines, Blood Products, Others, Unknown.</w:t>
            </w:r>
          </w:p>
        </w:tc>
      </w:tr>
      <w:tr>
        <w:tc>
          <w:tcPr>
            <w:tcW w:type="dxa" w:w="6984"/>
            <w:vAlign w:val="top"/>
          </w:tcPr>
          <w:p>
            <w:r/>
            <w:r>
              <w:rPr>
                <w:rFonts w:ascii="Aptos" w:hAnsi="Aptos"/>
                <w:b w:val="0"/>
                <w:sz w:val="16"/>
              </w:rPr>
              <w:t>Folder_Structure_Rules</w:t>
            </w:r>
          </w:p>
        </w:tc>
        <w:tc>
          <w:tcPr>
            <w:tcW w:type="dxa" w:w="6984"/>
            <w:vAlign w:val="top"/>
          </w:tcPr>
          <w:p>
            <w:r/>
            <w:r>
              <w:rPr>
                <w:rFonts w:ascii="Aptos" w:hAnsi="Aptos"/>
                <w:b w:val="0"/>
                <w:sz w:val="16"/>
              </w:rPr>
              <w:t>Expected sequence roots, module folders, mandatory/optional/conditional folders, Green/Amber/Red criteria.</w:t>
            </w:r>
          </w:p>
        </w:tc>
      </w:tr>
      <w:tr>
        <w:tc>
          <w:tcPr>
            <w:tcW w:type="dxa" w:w="6984"/>
            <w:vAlign w:val="top"/>
          </w:tcPr>
          <w:p>
            <w:r/>
            <w:r>
              <w:rPr>
                <w:rFonts w:ascii="Aptos" w:hAnsi="Aptos"/>
                <w:b w:val="0"/>
                <w:sz w:val="16"/>
              </w:rPr>
              <w:t>Mandatory_Files</w:t>
            </w:r>
          </w:p>
        </w:tc>
        <w:tc>
          <w:tcPr>
            <w:tcW w:type="dxa" w:w="6984"/>
            <w:vAlign w:val="top"/>
          </w:tcPr>
          <w:p>
            <w:r/>
            <w:r>
              <w:rPr>
                <w:rFonts w:ascii="Aptos" w:hAnsi="Aptos"/>
                <w:b w:val="0"/>
                <w:sz w:val="16"/>
              </w:rPr>
              <w:t>Expected files such as index.xml, index-md5.txt, regional XML, checksum, application forms, published PDFs, leaf files, and module-specific files.</w:t>
            </w:r>
          </w:p>
        </w:tc>
      </w:tr>
      <w:tr>
        <w:tc>
          <w:tcPr>
            <w:tcW w:type="dxa" w:w="6984"/>
            <w:vAlign w:val="top"/>
          </w:tcPr>
          <w:p>
            <w:r/>
            <w:r>
              <w:rPr>
                <w:rFonts w:ascii="Aptos" w:hAnsi="Aptos"/>
                <w:b w:val="0"/>
                <w:sz w:val="16"/>
              </w:rPr>
              <w:t>XML_Detection_Rules</w:t>
            </w:r>
          </w:p>
        </w:tc>
        <w:tc>
          <w:tcPr>
            <w:tcW w:type="dxa" w:w="6984"/>
            <w:vAlign w:val="top"/>
          </w:tcPr>
          <w:p>
            <w:r/>
            <w:r>
              <w:rPr>
                <w:rFonts w:ascii="Aptos" w:hAnsi="Aptos"/>
                <w:b w:val="0"/>
                <w:sz w:val="16"/>
              </w:rPr>
              <w:t>Backbone XML, regional XML, namespace patterns, file-name patterns, parser hints, detection priority.</w:t>
            </w:r>
          </w:p>
        </w:tc>
      </w:tr>
      <w:tr>
        <w:tc>
          <w:tcPr>
            <w:tcW w:type="dxa" w:w="6984"/>
            <w:vAlign w:val="top"/>
          </w:tcPr>
          <w:p>
            <w:r/>
            <w:r>
              <w:rPr>
                <w:rFonts w:ascii="Aptos" w:hAnsi="Aptos"/>
                <w:b w:val="0"/>
                <w:sz w:val="16"/>
              </w:rPr>
              <w:t>RAG_Rules</w:t>
            </w:r>
          </w:p>
        </w:tc>
        <w:tc>
          <w:tcPr>
            <w:tcW w:type="dxa" w:w="6984"/>
            <w:vAlign w:val="top"/>
          </w:tcPr>
          <w:p>
            <w:r/>
            <w:r>
              <w:rPr>
                <w:rFonts w:ascii="Aptos" w:hAnsi="Aptos"/>
                <w:b w:val="0"/>
                <w:sz w:val="16"/>
              </w:rPr>
              <w:t>Criteria for Green, Amber, Red, Not Assessed, and Unknown.</w:t>
            </w:r>
          </w:p>
        </w:tc>
      </w:tr>
      <w:tr>
        <w:tc>
          <w:tcPr>
            <w:tcW w:type="dxa" w:w="6984"/>
            <w:vAlign w:val="top"/>
          </w:tcPr>
          <w:p>
            <w:r/>
            <w:r>
              <w:rPr>
                <w:rFonts w:ascii="Aptos" w:hAnsi="Aptos"/>
                <w:b w:val="0"/>
                <w:sz w:val="16"/>
              </w:rPr>
              <w:t>Effort_Drivers</w:t>
            </w:r>
          </w:p>
        </w:tc>
        <w:tc>
          <w:tcPr>
            <w:tcW w:type="dxa" w:w="6984"/>
            <w:vAlign w:val="top"/>
          </w:tcPr>
          <w:p>
            <w:r/>
            <w:r>
              <w:rPr>
                <w:rFonts w:ascii="Aptos" w:hAnsi="Aptos"/>
                <w:b w:val="0"/>
                <w:sz w:val="16"/>
              </w:rPr>
              <w:t>Driver name, category, weight, threshold, scoring logic, recommendation.</w:t>
            </w:r>
          </w:p>
        </w:tc>
      </w:tr>
      <w:tr>
        <w:tc>
          <w:tcPr>
            <w:tcW w:type="dxa" w:w="6984"/>
            <w:vAlign w:val="top"/>
          </w:tcPr>
          <w:p>
            <w:r/>
            <w:r>
              <w:rPr>
                <w:rFonts w:ascii="Aptos" w:hAnsi="Aptos"/>
                <w:b w:val="0"/>
                <w:sz w:val="16"/>
              </w:rPr>
              <w:t>Confidence_Rules</w:t>
            </w:r>
          </w:p>
        </w:tc>
        <w:tc>
          <w:tcPr>
            <w:tcW w:type="dxa" w:w="6984"/>
            <w:vAlign w:val="top"/>
          </w:tcPr>
          <w:p>
            <w:r/>
            <w:r>
              <w:rPr>
                <w:rFonts w:ascii="Aptos" w:hAnsi="Aptos"/>
                <w:b w:val="0"/>
                <w:sz w:val="16"/>
              </w:rPr>
              <w:t>Evidence combinations that produce High, Medium, Low, or Unknown confidence.</w:t>
            </w:r>
          </w:p>
        </w:tc>
      </w:tr>
      <w:tr>
        <w:tc>
          <w:tcPr>
            <w:tcW w:type="dxa" w:w="6984"/>
            <w:vAlign w:val="top"/>
          </w:tcPr>
          <w:p>
            <w:r/>
            <w:r>
              <w:rPr>
                <w:rFonts w:ascii="Aptos" w:hAnsi="Aptos"/>
                <w:b w:val="0"/>
                <w:sz w:val="16"/>
              </w:rPr>
              <w:t>Recommendations</w:t>
            </w:r>
          </w:p>
        </w:tc>
        <w:tc>
          <w:tcPr>
            <w:tcW w:type="dxa" w:w="6984"/>
            <w:vAlign w:val="top"/>
          </w:tcPr>
          <w:p>
            <w:r/>
            <w:r>
              <w:rPr>
                <w:rFonts w:ascii="Aptos" w:hAnsi="Aptos"/>
                <w:b w:val="0"/>
                <w:sz w:val="16"/>
              </w:rPr>
              <w:t>Finding code, severity, customer-facing recommendation, consultant-facing note, next action.</w:t>
            </w:r>
          </w:p>
        </w:tc>
      </w:tr>
      <w:tr>
        <w:tc>
          <w:tcPr>
            <w:tcW w:type="dxa" w:w="6984"/>
            <w:vAlign w:val="top"/>
          </w:tcPr>
          <w:p>
            <w:r/>
            <w:r>
              <w:rPr>
                <w:rFonts w:ascii="Aptos" w:hAnsi="Aptos"/>
                <w:b w:val="0"/>
                <w:sz w:val="16"/>
              </w:rPr>
              <w:t>Authority_Mapping</w:t>
            </w:r>
          </w:p>
        </w:tc>
        <w:tc>
          <w:tcPr>
            <w:tcW w:type="dxa" w:w="6984"/>
            <w:vAlign w:val="top"/>
          </w:tcPr>
          <w:p>
            <w:r/>
            <w:r>
              <w:rPr>
                <w:rFonts w:ascii="Aptos" w:hAnsi="Aptos"/>
                <w:b w:val="0"/>
                <w:sz w:val="16"/>
              </w:rPr>
              <w:t>Authority, region, format, expected regional folder, expected XML, module expectations.</w:t>
            </w:r>
          </w:p>
        </w:tc>
      </w:tr>
      <w:tr>
        <w:tc>
          <w:tcPr>
            <w:tcW w:type="dxa" w:w="6984"/>
            <w:vAlign w:val="top"/>
          </w:tcPr>
          <w:p>
            <w:r/>
            <w:r>
              <w:rPr>
                <w:rFonts w:ascii="Aptos" w:hAnsi="Aptos"/>
                <w:b w:val="0"/>
                <w:sz w:val="16"/>
              </w:rPr>
              <w:t>Questionnaire_Map</w:t>
            </w:r>
          </w:p>
        </w:tc>
        <w:tc>
          <w:tcPr>
            <w:tcW w:type="dxa" w:w="6984"/>
            <w:vAlign w:val="top"/>
          </w:tcPr>
          <w:p>
            <w:r/>
            <w:r>
              <w:rPr>
                <w:rFonts w:ascii="Aptos" w:hAnsi="Aptos"/>
                <w:b w:val="0"/>
                <w:sz w:val="16"/>
              </w:rPr>
              <w:t>Mapping from observed values to customer clarification questions and pre-sales questionnaire items.</w:t>
            </w:r>
          </w:p>
        </w:tc>
      </w:tr>
      <w:tr>
        <w:tc>
          <w:tcPr>
            <w:tcW w:type="dxa" w:w="6984"/>
            <w:vAlign w:val="top"/>
          </w:tcPr>
          <w:p>
            <w:r/>
            <w:r>
              <w:rPr>
                <w:rFonts w:ascii="Aptos" w:hAnsi="Aptos"/>
                <w:b w:val="0"/>
                <w:sz w:val="16"/>
              </w:rPr>
              <w:t>Aliases</w:t>
            </w:r>
          </w:p>
        </w:tc>
        <w:tc>
          <w:tcPr>
            <w:tcW w:type="dxa" w:w="6984"/>
            <w:vAlign w:val="top"/>
          </w:tcPr>
          <w:p>
            <w:r/>
            <w:r>
              <w:rPr>
                <w:rFonts w:ascii="Aptos" w:hAnsi="Aptos"/>
                <w:b w:val="0"/>
                <w:sz w:val="16"/>
              </w:rPr>
              <w:t>Approved synonyms and column aliases for source reports and inputs.</w:t>
            </w:r>
          </w:p>
        </w:tc>
      </w:tr>
      <w:tr>
        <w:tc>
          <w:tcPr>
            <w:tcW w:type="dxa" w:w="6984"/>
            <w:vAlign w:val="top"/>
          </w:tcPr>
          <w:p>
            <w:r/>
            <w:r>
              <w:rPr>
                <w:rFonts w:ascii="Aptos" w:hAnsi="Aptos"/>
                <w:b w:val="0"/>
                <w:sz w:val="16"/>
              </w:rPr>
              <w:t>Validation_Controls</w:t>
            </w:r>
          </w:p>
        </w:tc>
        <w:tc>
          <w:tcPr>
            <w:tcW w:type="dxa" w:w="6984"/>
            <w:vAlign w:val="top"/>
          </w:tcPr>
          <w:p>
            <w:r/>
            <w:r>
              <w:rPr>
                <w:rFonts w:ascii="Aptos" w:hAnsi="Aptos"/>
                <w:b w:val="0"/>
                <w:sz w:val="16"/>
              </w:rPr>
              <w:t>Control checks to validate the mapping workbook itself before script execution.</w:t>
            </w:r>
          </w:p>
        </w:tc>
      </w:tr>
    </w:tbl>
    <w:p/>
    <w:p>
      <w:pPr>
        <w:pStyle w:val="Heading1"/>
      </w:pPr>
      <w:r>
        <w:t>3. Standard Columns for Rule Sheets</w:t>
      </w:r>
    </w:p>
    <w:tbl>
      <w:tblPr>
        <w:tblStyle w:val="TableGrid"/>
        <w:tblW w:type="auto" w:w="0"/>
        <w:jc w:val="center"/>
        <w:tblLook w:firstColumn="1" w:firstRow="1" w:lastColumn="0" w:lastRow="0" w:noHBand="0" w:noVBand="1" w:val="04A0"/>
      </w:tblPr>
      <w:tblGrid>
        <w:gridCol w:w="6984"/>
        <w:gridCol w:w="6984"/>
      </w:tblGrid>
      <w:tr>
        <w:tc>
          <w:tcPr>
            <w:tcW w:type="dxa" w:w="6984"/>
            <w:vAlign w:val="top"/>
            <w:shd w:fill="1F4E79"/>
          </w:tcPr>
          <w:p>
            <w:r/>
            <w:r>
              <w:rPr>
                <w:rFonts w:ascii="Aptos" w:hAnsi="Aptos"/>
                <w:b/>
                <w:color w:val="FFFFFF"/>
                <w:sz w:val="17"/>
              </w:rPr>
              <w:t>Column</w:t>
            </w:r>
          </w:p>
        </w:tc>
        <w:tc>
          <w:tcPr>
            <w:tcW w:type="dxa" w:w="6984"/>
            <w:vAlign w:val="top"/>
            <w:shd w:fill="1F4E79"/>
          </w:tcPr>
          <w:p>
            <w:r/>
            <w:r>
              <w:rPr>
                <w:rFonts w:ascii="Aptos" w:hAnsi="Aptos"/>
                <w:b/>
                <w:color w:val="FFFFFF"/>
                <w:sz w:val="17"/>
              </w:rPr>
              <w:t>Purpose</w:t>
            </w:r>
          </w:p>
        </w:tc>
      </w:tr>
      <w:tr>
        <w:tc>
          <w:tcPr>
            <w:tcW w:type="dxa" w:w="6984"/>
            <w:vAlign w:val="top"/>
          </w:tcPr>
          <w:p>
            <w:r/>
            <w:r>
              <w:rPr>
                <w:rFonts w:ascii="Aptos" w:hAnsi="Aptos"/>
                <w:b w:val="0"/>
                <w:sz w:val="17"/>
              </w:rPr>
              <w:t>RuleId</w:t>
            </w:r>
          </w:p>
        </w:tc>
        <w:tc>
          <w:tcPr>
            <w:tcW w:type="dxa" w:w="6984"/>
            <w:vAlign w:val="top"/>
          </w:tcPr>
          <w:p>
            <w:r/>
            <w:r>
              <w:rPr>
                <w:rFonts w:ascii="Aptos" w:hAnsi="Aptos"/>
                <w:b w:val="0"/>
                <w:sz w:val="17"/>
              </w:rPr>
              <w:t>Unique stable identifier used in logs and workbook traceability.</w:t>
            </w:r>
          </w:p>
        </w:tc>
      </w:tr>
      <w:tr>
        <w:tc>
          <w:tcPr>
            <w:tcW w:type="dxa" w:w="6984"/>
            <w:vAlign w:val="top"/>
          </w:tcPr>
          <w:p>
            <w:r/>
            <w:r>
              <w:rPr>
                <w:rFonts w:ascii="Aptos" w:hAnsi="Aptos"/>
                <w:b w:val="0"/>
                <w:sz w:val="17"/>
              </w:rPr>
              <w:t>IsActive</w:t>
            </w:r>
          </w:p>
        </w:tc>
        <w:tc>
          <w:tcPr>
            <w:tcW w:type="dxa" w:w="6984"/>
            <w:vAlign w:val="top"/>
          </w:tcPr>
          <w:p>
            <w:r/>
            <w:r>
              <w:rPr>
                <w:rFonts w:ascii="Aptos" w:hAnsi="Aptos"/>
                <w:b w:val="0"/>
                <w:sz w:val="17"/>
              </w:rPr>
              <w:t>Controls whether the rule is currently active.</w:t>
            </w:r>
          </w:p>
        </w:tc>
      </w:tr>
      <w:tr>
        <w:tc>
          <w:tcPr>
            <w:tcW w:type="dxa" w:w="6984"/>
            <w:vAlign w:val="top"/>
          </w:tcPr>
          <w:p>
            <w:r/>
            <w:r>
              <w:rPr>
                <w:rFonts w:ascii="Aptos" w:hAnsi="Aptos"/>
                <w:b w:val="0"/>
                <w:sz w:val="17"/>
              </w:rPr>
              <w:t>Priority</w:t>
            </w:r>
          </w:p>
        </w:tc>
        <w:tc>
          <w:tcPr>
            <w:tcW w:type="dxa" w:w="6984"/>
            <w:vAlign w:val="top"/>
          </w:tcPr>
          <w:p>
            <w:r/>
            <w:r>
              <w:rPr>
                <w:rFonts w:ascii="Aptos" w:hAnsi="Aptos"/>
                <w:b w:val="0"/>
                <w:sz w:val="17"/>
              </w:rPr>
              <w:t>Execution order when multiple rules match.</w:t>
            </w:r>
          </w:p>
        </w:tc>
      </w:tr>
      <w:tr>
        <w:tc>
          <w:tcPr>
            <w:tcW w:type="dxa" w:w="6984"/>
            <w:vAlign w:val="top"/>
          </w:tcPr>
          <w:p>
            <w:r/>
            <w:r>
              <w:rPr>
                <w:rFonts w:ascii="Aptos" w:hAnsi="Aptos"/>
                <w:b w:val="0"/>
                <w:sz w:val="17"/>
              </w:rPr>
              <w:t>Region</w:t>
            </w:r>
          </w:p>
        </w:tc>
        <w:tc>
          <w:tcPr>
            <w:tcW w:type="dxa" w:w="6984"/>
            <w:vAlign w:val="top"/>
          </w:tcPr>
          <w:p>
            <w:r/>
            <w:r>
              <w:rPr>
                <w:rFonts w:ascii="Aptos" w:hAnsi="Aptos"/>
                <w:b w:val="0"/>
                <w:sz w:val="17"/>
              </w:rPr>
              <w:t>Region or authority context where applicable.</w:t>
            </w:r>
          </w:p>
        </w:tc>
      </w:tr>
      <w:tr>
        <w:tc>
          <w:tcPr>
            <w:tcW w:type="dxa" w:w="6984"/>
            <w:vAlign w:val="top"/>
          </w:tcPr>
          <w:p>
            <w:r/>
            <w:r>
              <w:rPr>
                <w:rFonts w:ascii="Aptos" w:hAnsi="Aptos"/>
                <w:b w:val="0"/>
                <w:sz w:val="17"/>
              </w:rPr>
              <w:t>Format</w:t>
            </w:r>
          </w:p>
        </w:tc>
        <w:tc>
          <w:tcPr>
            <w:tcW w:type="dxa" w:w="6984"/>
            <w:vAlign w:val="top"/>
          </w:tcPr>
          <w:p>
            <w:r/>
            <w:r>
              <w:rPr>
                <w:rFonts w:ascii="Aptos" w:hAnsi="Aptos"/>
                <w:b w:val="0"/>
                <w:sz w:val="17"/>
              </w:rPr>
              <w:t>Format context where applicable.</w:t>
            </w:r>
          </w:p>
        </w:tc>
      </w:tr>
      <w:tr>
        <w:tc>
          <w:tcPr>
            <w:tcW w:type="dxa" w:w="6984"/>
            <w:vAlign w:val="top"/>
          </w:tcPr>
          <w:p>
            <w:r/>
            <w:r>
              <w:rPr>
                <w:rFonts w:ascii="Aptos" w:hAnsi="Aptos"/>
                <w:b w:val="0"/>
                <w:sz w:val="17"/>
              </w:rPr>
              <w:t>Type</w:t>
            </w:r>
          </w:p>
        </w:tc>
        <w:tc>
          <w:tcPr>
            <w:tcW w:type="dxa" w:w="6984"/>
            <w:vAlign w:val="top"/>
          </w:tcPr>
          <w:p>
            <w:r/>
            <w:r>
              <w:rPr>
                <w:rFonts w:ascii="Aptos" w:hAnsi="Aptos"/>
                <w:b w:val="0"/>
                <w:sz w:val="17"/>
              </w:rPr>
              <w:t>Dossier type context where applicable.</w:t>
            </w:r>
          </w:p>
        </w:tc>
      </w:tr>
      <w:tr>
        <w:tc>
          <w:tcPr>
            <w:tcW w:type="dxa" w:w="6984"/>
            <w:vAlign w:val="top"/>
          </w:tcPr>
          <w:p>
            <w:r/>
            <w:r>
              <w:rPr>
                <w:rFonts w:ascii="Aptos" w:hAnsi="Aptos"/>
                <w:b w:val="0"/>
                <w:sz w:val="17"/>
              </w:rPr>
              <w:t>IndicatorType</w:t>
            </w:r>
          </w:p>
        </w:tc>
        <w:tc>
          <w:tcPr>
            <w:tcW w:type="dxa" w:w="6984"/>
            <w:vAlign w:val="top"/>
          </w:tcPr>
          <w:p>
            <w:r/>
            <w:r>
              <w:rPr>
                <w:rFonts w:ascii="Aptos" w:hAnsi="Aptos"/>
                <w:b w:val="0"/>
                <w:sz w:val="17"/>
              </w:rPr>
              <w:t>Folder, file, XML, metadata, path, name pattern, count, size, or derived value.</w:t>
            </w:r>
          </w:p>
        </w:tc>
      </w:tr>
      <w:tr>
        <w:tc>
          <w:tcPr>
            <w:tcW w:type="dxa" w:w="6984"/>
            <w:vAlign w:val="top"/>
          </w:tcPr>
          <w:p>
            <w:r/>
            <w:r>
              <w:rPr>
                <w:rFonts w:ascii="Aptos" w:hAnsi="Aptos"/>
                <w:b w:val="0"/>
                <w:sz w:val="17"/>
              </w:rPr>
              <w:t>IndicatorPattern</w:t>
            </w:r>
          </w:p>
        </w:tc>
        <w:tc>
          <w:tcPr>
            <w:tcW w:type="dxa" w:w="6984"/>
            <w:vAlign w:val="top"/>
          </w:tcPr>
          <w:p>
            <w:r/>
            <w:r>
              <w:rPr>
                <w:rFonts w:ascii="Aptos" w:hAnsi="Aptos"/>
                <w:b w:val="0"/>
                <w:sz w:val="17"/>
              </w:rPr>
              <w:t>Pattern, file name, folder name, XML namespace, or regex-like expression.</w:t>
            </w:r>
          </w:p>
        </w:tc>
      </w:tr>
      <w:tr>
        <w:tc>
          <w:tcPr>
            <w:tcW w:type="dxa" w:w="6984"/>
            <w:vAlign w:val="top"/>
          </w:tcPr>
          <w:p>
            <w:r/>
            <w:r>
              <w:rPr>
                <w:rFonts w:ascii="Aptos" w:hAnsi="Aptos"/>
                <w:b w:val="0"/>
                <w:sz w:val="17"/>
              </w:rPr>
              <w:t>ExpectedValue</w:t>
            </w:r>
          </w:p>
        </w:tc>
        <w:tc>
          <w:tcPr>
            <w:tcW w:type="dxa" w:w="6984"/>
            <w:vAlign w:val="top"/>
          </w:tcPr>
          <w:p>
            <w:r/>
            <w:r>
              <w:rPr>
                <w:rFonts w:ascii="Aptos" w:hAnsi="Aptos"/>
                <w:b w:val="0"/>
                <w:sz w:val="17"/>
              </w:rPr>
              <w:t>Required or expected value.</w:t>
            </w:r>
          </w:p>
        </w:tc>
      </w:tr>
      <w:tr>
        <w:tc>
          <w:tcPr>
            <w:tcW w:type="dxa" w:w="6984"/>
            <w:vAlign w:val="top"/>
          </w:tcPr>
          <w:p>
            <w:r/>
            <w:r>
              <w:rPr>
                <w:rFonts w:ascii="Aptos" w:hAnsi="Aptos"/>
                <w:b w:val="0"/>
                <w:sz w:val="17"/>
              </w:rPr>
              <w:t>RagImpact</w:t>
            </w:r>
          </w:p>
        </w:tc>
        <w:tc>
          <w:tcPr>
            <w:tcW w:type="dxa" w:w="6984"/>
            <w:vAlign w:val="top"/>
          </w:tcPr>
          <w:p>
            <w:r/>
            <w:r>
              <w:rPr>
                <w:rFonts w:ascii="Aptos" w:hAnsi="Aptos"/>
                <w:b w:val="0"/>
                <w:sz w:val="17"/>
              </w:rPr>
              <w:t>Green, Amber, Red, Warning, Info, or Not Assessed impact.</w:t>
            </w:r>
          </w:p>
        </w:tc>
      </w:tr>
      <w:tr>
        <w:tc>
          <w:tcPr>
            <w:tcW w:type="dxa" w:w="6984"/>
            <w:vAlign w:val="top"/>
          </w:tcPr>
          <w:p>
            <w:r/>
            <w:r>
              <w:rPr>
                <w:rFonts w:ascii="Aptos" w:hAnsi="Aptos"/>
                <w:b w:val="0"/>
                <w:sz w:val="17"/>
              </w:rPr>
              <w:t>ScoreImpact</w:t>
            </w:r>
          </w:p>
        </w:tc>
        <w:tc>
          <w:tcPr>
            <w:tcW w:type="dxa" w:w="6984"/>
            <w:vAlign w:val="top"/>
          </w:tcPr>
          <w:p>
            <w:r/>
            <w:r>
              <w:rPr>
                <w:rFonts w:ascii="Aptos" w:hAnsi="Aptos"/>
                <w:b w:val="0"/>
                <w:sz w:val="17"/>
              </w:rPr>
              <w:t>Numeric scoring contribution where applicable.</w:t>
            </w:r>
          </w:p>
        </w:tc>
      </w:tr>
      <w:tr>
        <w:tc>
          <w:tcPr>
            <w:tcW w:type="dxa" w:w="6984"/>
            <w:vAlign w:val="top"/>
          </w:tcPr>
          <w:p>
            <w:r/>
            <w:r>
              <w:rPr>
                <w:rFonts w:ascii="Aptos" w:hAnsi="Aptos"/>
                <w:b w:val="0"/>
                <w:sz w:val="17"/>
              </w:rPr>
              <w:t>ConfidenceImpact</w:t>
            </w:r>
          </w:p>
        </w:tc>
        <w:tc>
          <w:tcPr>
            <w:tcW w:type="dxa" w:w="6984"/>
            <w:vAlign w:val="top"/>
          </w:tcPr>
          <w:p>
            <w:r/>
            <w:r>
              <w:rPr>
                <w:rFonts w:ascii="Aptos" w:hAnsi="Aptos"/>
                <w:b w:val="0"/>
                <w:sz w:val="17"/>
              </w:rPr>
              <w:t>High, Medium, Low, or Unknown contribution.</w:t>
            </w:r>
          </w:p>
        </w:tc>
      </w:tr>
      <w:tr>
        <w:tc>
          <w:tcPr>
            <w:tcW w:type="dxa" w:w="6984"/>
            <w:vAlign w:val="top"/>
          </w:tcPr>
          <w:p>
            <w:r/>
            <w:r>
              <w:rPr>
                <w:rFonts w:ascii="Aptos" w:hAnsi="Aptos"/>
                <w:b w:val="0"/>
                <w:sz w:val="17"/>
              </w:rPr>
              <w:t>RecommendationCode</w:t>
            </w:r>
          </w:p>
        </w:tc>
        <w:tc>
          <w:tcPr>
            <w:tcW w:type="dxa" w:w="6984"/>
            <w:vAlign w:val="top"/>
          </w:tcPr>
          <w:p>
            <w:r/>
            <w:r>
              <w:rPr>
                <w:rFonts w:ascii="Aptos" w:hAnsi="Aptos"/>
                <w:b w:val="0"/>
                <w:sz w:val="17"/>
              </w:rPr>
              <w:t>Link to Recommendations sheet.</w:t>
            </w:r>
          </w:p>
        </w:tc>
      </w:tr>
      <w:tr>
        <w:tc>
          <w:tcPr>
            <w:tcW w:type="dxa" w:w="6984"/>
            <w:vAlign w:val="top"/>
          </w:tcPr>
          <w:p>
            <w:r/>
            <w:r>
              <w:rPr>
                <w:rFonts w:ascii="Aptos" w:hAnsi="Aptos"/>
                <w:b w:val="0"/>
                <w:sz w:val="17"/>
              </w:rPr>
              <w:t>Comment</w:t>
            </w:r>
          </w:p>
        </w:tc>
        <w:tc>
          <w:tcPr>
            <w:tcW w:type="dxa" w:w="6984"/>
            <w:vAlign w:val="top"/>
          </w:tcPr>
          <w:p>
            <w:r/>
            <w:r>
              <w:rPr>
                <w:rFonts w:ascii="Aptos" w:hAnsi="Aptos"/>
                <w:b w:val="0"/>
                <w:sz w:val="17"/>
              </w:rPr>
              <w:t>Human-readable explanation for maintainers.</w:t>
            </w:r>
          </w:p>
        </w:tc>
      </w:tr>
    </w:tbl>
    <w:p/>
    <w:p>
      <w:pPr>
        <w:pStyle w:val="Heading1"/>
      </w:pPr>
      <w:r>
        <w:t>4. Folder Structure Rule Model</w:t>
      </w:r>
    </w:p>
    <w:tbl>
      <w:tblPr>
        <w:tblStyle w:val="TableGrid"/>
        <w:tblW w:type="auto" w:w="0"/>
        <w:jc w:val="center"/>
        <w:tblLook w:firstColumn="1" w:firstRow="1" w:lastColumn="0" w:lastRow="0" w:noHBand="0" w:noVBand="1" w:val="04A0"/>
      </w:tblPr>
      <w:tblGrid>
        <w:gridCol w:w="6984"/>
        <w:gridCol w:w="6984"/>
      </w:tblGrid>
      <w:tr>
        <w:tc>
          <w:tcPr>
            <w:tcW w:type="dxa" w:w="6984"/>
            <w:vAlign w:val="top"/>
            <w:shd w:fill="1F4E79"/>
          </w:tcPr>
          <w:p>
            <w:r/>
            <w:r>
              <w:rPr>
                <w:rFonts w:ascii="Aptos" w:hAnsi="Aptos"/>
                <w:b/>
                <w:color w:val="FFFFFF"/>
                <w:sz w:val="17"/>
              </w:rPr>
              <w:t>Rule Area</w:t>
            </w:r>
          </w:p>
        </w:tc>
        <w:tc>
          <w:tcPr>
            <w:tcW w:type="dxa" w:w="6984"/>
            <w:vAlign w:val="top"/>
            <w:shd w:fill="1F4E79"/>
          </w:tcPr>
          <w:p>
            <w:r/>
            <w:r>
              <w:rPr>
                <w:rFonts w:ascii="Aptos" w:hAnsi="Aptos"/>
                <w:b/>
                <w:color w:val="FFFFFF"/>
                <w:sz w:val="17"/>
              </w:rPr>
              <w:t>Requirement</w:t>
            </w:r>
          </w:p>
        </w:tc>
      </w:tr>
      <w:tr>
        <w:tc>
          <w:tcPr>
            <w:tcW w:type="dxa" w:w="6984"/>
            <w:vAlign w:val="top"/>
          </w:tcPr>
          <w:p>
            <w:r/>
            <w:r>
              <w:rPr>
                <w:rFonts w:ascii="Aptos" w:hAnsi="Aptos"/>
                <w:b w:val="0"/>
                <w:sz w:val="17"/>
              </w:rPr>
              <w:t>Sequence detection</w:t>
            </w:r>
          </w:p>
        </w:tc>
        <w:tc>
          <w:tcPr>
            <w:tcW w:type="dxa" w:w="6984"/>
            <w:vAlign w:val="top"/>
          </w:tcPr>
          <w:p>
            <w:r/>
            <w:r>
              <w:rPr>
                <w:rFonts w:ascii="Aptos" w:hAnsi="Aptos"/>
                <w:b w:val="0"/>
                <w:sz w:val="17"/>
              </w:rPr>
              <w:t>Define valid sequence folder patterns such as 0000, 0001, 0002 and authority-specific variations.</w:t>
            </w:r>
          </w:p>
        </w:tc>
      </w:tr>
      <w:tr>
        <w:tc>
          <w:tcPr>
            <w:tcW w:type="dxa" w:w="6984"/>
            <w:vAlign w:val="top"/>
          </w:tcPr>
          <w:p>
            <w:r/>
            <w:r>
              <w:rPr>
                <w:rFonts w:ascii="Aptos" w:hAnsi="Aptos"/>
                <w:b w:val="0"/>
                <w:sz w:val="17"/>
              </w:rPr>
              <w:t>Mandatory modules</w:t>
            </w:r>
          </w:p>
        </w:tc>
        <w:tc>
          <w:tcPr>
            <w:tcW w:type="dxa" w:w="6984"/>
            <w:vAlign w:val="top"/>
          </w:tcPr>
          <w:p>
            <w:r/>
            <w:r>
              <w:rPr>
                <w:rFonts w:ascii="Aptos" w:hAnsi="Aptos"/>
                <w:b w:val="0"/>
                <w:sz w:val="17"/>
              </w:rPr>
              <w:t>Define required modules m1-m5 by region/format/type.</w:t>
            </w:r>
          </w:p>
        </w:tc>
      </w:tr>
      <w:tr>
        <w:tc>
          <w:tcPr>
            <w:tcW w:type="dxa" w:w="6984"/>
            <w:vAlign w:val="top"/>
          </w:tcPr>
          <w:p>
            <w:r/>
            <w:r>
              <w:rPr>
                <w:rFonts w:ascii="Aptos" w:hAnsi="Aptos"/>
                <w:b w:val="0"/>
                <w:sz w:val="17"/>
              </w:rPr>
              <w:t>Conditional modules</w:t>
            </w:r>
          </w:p>
        </w:tc>
        <w:tc>
          <w:tcPr>
            <w:tcW w:type="dxa" w:w="6984"/>
            <w:vAlign w:val="top"/>
          </w:tcPr>
          <w:p>
            <w:r/>
            <w:r>
              <w:rPr>
                <w:rFonts w:ascii="Aptos" w:hAnsi="Aptos"/>
                <w:b w:val="0"/>
                <w:sz w:val="17"/>
              </w:rPr>
              <w:t>Define when modules or folders are conditional rather than mandatory.</w:t>
            </w:r>
          </w:p>
        </w:tc>
      </w:tr>
      <w:tr>
        <w:tc>
          <w:tcPr>
            <w:tcW w:type="dxa" w:w="6984"/>
            <w:vAlign w:val="top"/>
          </w:tcPr>
          <w:p>
            <w:r/>
            <w:r>
              <w:rPr>
                <w:rFonts w:ascii="Aptos" w:hAnsi="Aptos"/>
                <w:b w:val="0"/>
                <w:sz w:val="17"/>
              </w:rPr>
              <w:t>Regional folder</w:t>
            </w:r>
          </w:p>
        </w:tc>
        <w:tc>
          <w:tcPr>
            <w:tcW w:type="dxa" w:w="6984"/>
            <w:vAlign w:val="top"/>
          </w:tcPr>
          <w:p>
            <w:r/>
            <w:r>
              <w:rPr>
                <w:rFonts w:ascii="Aptos" w:hAnsi="Aptos"/>
                <w:b w:val="0"/>
                <w:sz w:val="17"/>
              </w:rPr>
              <w:t>Define expected regional path, for example m1/eu where applicable.</w:t>
            </w:r>
          </w:p>
        </w:tc>
      </w:tr>
      <w:tr>
        <w:tc>
          <w:tcPr>
            <w:tcW w:type="dxa" w:w="6984"/>
            <w:vAlign w:val="top"/>
          </w:tcPr>
          <w:p>
            <w:r/>
            <w:r>
              <w:rPr>
                <w:rFonts w:ascii="Aptos" w:hAnsi="Aptos"/>
                <w:b w:val="0"/>
                <w:sz w:val="17"/>
              </w:rPr>
              <w:t>Backbone XML</w:t>
            </w:r>
          </w:p>
        </w:tc>
        <w:tc>
          <w:tcPr>
            <w:tcW w:type="dxa" w:w="6984"/>
            <w:vAlign w:val="top"/>
          </w:tcPr>
          <w:p>
            <w:r/>
            <w:r>
              <w:rPr>
                <w:rFonts w:ascii="Aptos" w:hAnsi="Aptos"/>
                <w:b w:val="0"/>
                <w:sz w:val="17"/>
              </w:rPr>
              <w:t>Define whether index.xml is mandatory and how absence affects RAG.</w:t>
            </w:r>
          </w:p>
        </w:tc>
      </w:tr>
      <w:tr>
        <w:tc>
          <w:tcPr>
            <w:tcW w:type="dxa" w:w="6984"/>
            <w:vAlign w:val="top"/>
          </w:tcPr>
          <w:p>
            <w:r/>
            <w:r>
              <w:rPr>
                <w:rFonts w:ascii="Aptos" w:hAnsi="Aptos"/>
                <w:b w:val="0"/>
                <w:sz w:val="17"/>
              </w:rPr>
              <w:t>Checksum file</w:t>
            </w:r>
          </w:p>
        </w:tc>
        <w:tc>
          <w:tcPr>
            <w:tcW w:type="dxa" w:w="6984"/>
            <w:vAlign w:val="top"/>
          </w:tcPr>
          <w:p>
            <w:r/>
            <w:r>
              <w:rPr>
                <w:rFonts w:ascii="Aptos" w:hAnsi="Aptos"/>
                <w:b w:val="0"/>
                <w:sz w:val="17"/>
              </w:rPr>
              <w:t>Define whether index-md5.txt or equivalent checksum file is required or warning-only.</w:t>
            </w:r>
          </w:p>
        </w:tc>
      </w:tr>
      <w:tr>
        <w:tc>
          <w:tcPr>
            <w:tcW w:type="dxa" w:w="6984"/>
            <w:vAlign w:val="top"/>
          </w:tcPr>
          <w:p>
            <w:r/>
            <w:r>
              <w:rPr>
                <w:rFonts w:ascii="Aptos" w:hAnsi="Aptos"/>
                <w:b w:val="0"/>
                <w:sz w:val="17"/>
              </w:rPr>
              <w:t>Unknown folders</w:t>
            </w:r>
          </w:p>
        </w:tc>
        <w:tc>
          <w:tcPr>
            <w:tcW w:type="dxa" w:w="6984"/>
            <w:vAlign w:val="top"/>
          </w:tcPr>
          <w:p>
            <w:r/>
            <w:r>
              <w:rPr>
                <w:rFonts w:ascii="Aptos" w:hAnsi="Aptos"/>
                <w:b w:val="0"/>
                <w:sz w:val="17"/>
              </w:rPr>
              <w:t>Define thresholds for unknown/non-standard folders and impact on effort/RAG.</w:t>
            </w:r>
          </w:p>
        </w:tc>
      </w:tr>
    </w:tbl>
    <w:p/>
    <w:p>
      <w:pPr>
        <w:pStyle w:val="Heading1"/>
      </w:pPr>
      <w:r>
        <w:t>5. RAG Model</w:t>
      </w:r>
    </w:p>
    <w:tbl>
      <w:tblPr>
        <w:tblStyle w:val="TableGrid"/>
        <w:tblW w:type="auto" w:w="0"/>
        <w:jc w:val="center"/>
        <w:tblLook w:firstColumn="1" w:firstRow="1" w:lastColumn="0" w:lastRow="0" w:noHBand="0" w:noVBand="1" w:val="04A0"/>
      </w:tblPr>
      <w:tblGrid>
        <w:gridCol w:w="4656"/>
        <w:gridCol w:w="4656"/>
        <w:gridCol w:w="4656"/>
      </w:tblGrid>
      <w:tr>
        <w:tc>
          <w:tcPr>
            <w:tcW w:type="dxa" w:w="4656"/>
            <w:vAlign w:val="top"/>
            <w:shd w:fill="1F4E79"/>
          </w:tcPr>
          <w:p>
            <w:r/>
            <w:r>
              <w:rPr>
                <w:rFonts w:ascii="Aptos" w:hAnsi="Aptos"/>
                <w:b/>
                <w:color w:val="FFFFFF"/>
                <w:sz w:val="17"/>
              </w:rPr>
              <w:t>Status</w:t>
            </w:r>
          </w:p>
        </w:tc>
        <w:tc>
          <w:tcPr>
            <w:tcW w:type="dxa" w:w="4656"/>
            <w:vAlign w:val="top"/>
            <w:shd w:fill="1F4E79"/>
          </w:tcPr>
          <w:p>
            <w:r/>
            <w:r>
              <w:rPr>
                <w:rFonts w:ascii="Aptos" w:hAnsi="Aptos"/>
                <w:b/>
                <w:color w:val="FFFFFF"/>
                <w:sz w:val="17"/>
              </w:rPr>
              <w:t>Mapping Meaning</w:t>
            </w:r>
          </w:p>
        </w:tc>
        <w:tc>
          <w:tcPr>
            <w:tcW w:type="dxa" w:w="4656"/>
            <w:vAlign w:val="top"/>
            <w:shd w:fill="1F4E79"/>
          </w:tcPr>
          <w:p>
            <w:r/>
            <w:r>
              <w:rPr>
                <w:rFonts w:ascii="Aptos" w:hAnsi="Aptos"/>
                <w:b/>
                <w:color w:val="FFFFFF"/>
                <w:sz w:val="17"/>
              </w:rPr>
              <w:t>Typical Rule Outcomes</w:t>
            </w:r>
          </w:p>
        </w:tc>
      </w:tr>
      <w:tr>
        <w:tc>
          <w:tcPr>
            <w:tcW w:type="dxa" w:w="4656"/>
            <w:vAlign w:val="top"/>
          </w:tcPr>
          <w:p>
            <w:r/>
            <w:r>
              <w:rPr>
                <w:rFonts w:ascii="Aptos" w:hAnsi="Aptos"/>
                <w:b w:val="0"/>
                <w:sz w:val="17"/>
              </w:rPr>
              <w:t>Green</w:t>
            </w:r>
          </w:p>
        </w:tc>
        <w:tc>
          <w:tcPr>
            <w:tcW w:type="dxa" w:w="4656"/>
            <w:vAlign w:val="top"/>
          </w:tcPr>
          <w:p>
            <w:r/>
            <w:r>
              <w:rPr>
                <w:rFonts w:ascii="Aptos" w:hAnsi="Aptos"/>
                <w:b w:val="0"/>
                <w:sz w:val="17"/>
              </w:rPr>
              <w:t>Folder structure is recognized and mandatory structure is present.</w:t>
            </w:r>
          </w:p>
        </w:tc>
        <w:tc>
          <w:tcPr>
            <w:tcW w:type="dxa" w:w="4656"/>
            <w:vAlign w:val="top"/>
          </w:tcPr>
          <w:p>
            <w:r/>
            <w:r>
              <w:rPr>
                <w:rFonts w:ascii="Aptos" w:hAnsi="Aptos"/>
                <w:b w:val="0"/>
                <w:sz w:val="17"/>
              </w:rPr>
              <w:t>Required sequence root, index.xml, mandatory modules, and expected regional indicators are present.</w:t>
            </w:r>
          </w:p>
        </w:tc>
      </w:tr>
      <w:tr>
        <w:tc>
          <w:tcPr>
            <w:tcW w:type="dxa" w:w="4656"/>
            <w:vAlign w:val="top"/>
          </w:tcPr>
          <w:p>
            <w:r/>
            <w:r>
              <w:rPr>
                <w:rFonts w:ascii="Aptos" w:hAnsi="Aptos"/>
                <w:b w:val="0"/>
                <w:sz w:val="17"/>
              </w:rPr>
              <w:t>Amber</w:t>
            </w:r>
          </w:p>
        </w:tc>
        <w:tc>
          <w:tcPr>
            <w:tcW w:type="dxa" w:w="4656"/>
            <w:vAlign w:val="top"/>
          </w:tcPr>
          <w:p>
            <w:r/>
            <w:r>
              <w:rPr>
                <w:rFonts w:ascii="Aptos" w:hAnsi="Aptos"/>
                <w:b w:val="0"/>
                <w:sz w:val="17"/>
              </w:rPr>
              <w:t>Recognized but incomplete or review-worthy.</w:t>
            </w:r>
          </w:p>
        </w:tc>
        <w:tc>
          <w:tcPr>
            <w:tcW w:type="dxa" w:w="4656"/>
            <w:vAlign w:val="top"/>
          </w:tcPr>
          <w:p>
            <w:r/>
            <w:r>
              <w:rPr>
                <w:rFonts w:ascii="Aptos" w:hAnsi="Aptos"/>
                <w:b w:val="0"/>
                <w:sz w:val="17"/>
              </w:rPr>
              <w:t>Missing checksum, missing regional XML, empty module, unknown folder, incomplete optional/conditional content.</w:t>
            </w:r>
          </w:p>
        </w:tc>
      </w:tr>
      <w:tr>
        <w:tc>
          <w:tcPr>
            <w:tcW w:type="dxa" w:w="4656"/>
            <w:vAlign w:val="top"/>
          </w:tcPr>
          <w:p>
            <w:r/>
            <w:r>
              <w:rPr>
                <w:rFonts w:ascii="Aptos" w:hAnsi="Aptos"/>
                <w:b w:val="0"/>
                <w:sz w:val="17"/>
              </w:rPr>
              <w:t>Red</w:t>
            </w:r>
          </w:p>
        </w:tc>
        <w:tc>
          <w:tcPr>
            <w:tcW w:type="dxa" w:w="4656"/>
            <w:vAlign w:val="top"/>
          </w:tcPr>
          <w:p>
            <w:r/>
            <w:r>
              <w:rPr>
                <w:rFonts w:ascii="Aptos" w:hAnsi="Aptos"/>
                <w:b w:val="0"/>
                <w:sz w:val="17"/>
              </w:rPr>
              <w:t>Invalid or materially incomplete structure.</w:t>
            </w:r>
          </w:p>
        </w:tc>
        <w:tc>
          <w:tcPr>
            <w:tcW w:type="dxa" w:w="4656"/>
            <w:vAlign w:val="top"/>
          </w:tcPr>
          <w:p>
            <w:r/>
            <w:r>
              <w:rPr>
                <w:rFonts w:ascii="Aptos" w:hAnsi="Aptos"/>
                <w:b w:val="0"/>
                <w:sz w:val="17"/>
              </w:rPr>
              <w:t>Missing index.xml, no sequence folders, invalid numbering, missing mandatory modules, corrupted hierarchy.</w:t>
            </w:r>
          </w:p>
        </w:tc>
      </w:tr>
      <w:tr>
        <w:tc>
          <w:tcPr>
            <w:tcW w:type="dxa" w:w="4656"/>
            <w:vAlign w:val="top"/>
          </w:tcPr>
          <w:p>
            <w:r/>
            <w:r>
              <w:rPr>
                <w:rFonts w:ascii="Aptos" w:hAnsi="Aptos"/>
                <w:b w:val="0"/>
                <w:sz w:val="17"/>
              </w:rPr>
              <w:t>Unknown</w:t>
            </w:r>
          </w:p>
        </w:tc>
        <w:tc>
          <w:tcPr>
            <w:tcW w:type="dxa" w:w="4656"/>
            <w:vAlign w:val="top"/>
          </w:tcPr>
          <w:p>
            <w:r/>
            <w:r>
              <w:rPr>
                <w:rFonts w:ascii="Aptos" w:hAnsi="Aptos"/>
                <w:b w:val="0"/>
                <w:sz w:val="17"/>
              </w:rPr>
              <w:t>Insufficient evidence to classify.</w:t>
            </w:r>
          </w:p>
        </w:tc>
        <w:tc>
          <w:tcPr>
            <w:tcW w:type="dxa" w:w="4656"/>
            <w:vAlign w:val="top"/>
          </w:tcPr>
          <w:p>
            <w:r/>
            <w:r>
              <w:rPr>
                <w:rFonts w:ascii="Aptos" w:hAnsi="Aptos"/>
                <w:b w:val="0"/>
                <w:sz w:val="17"/>
              </w:rPr>
              <w:t>No matching rule or inconsistent indicators.</w:t>
            </w:r>
          </w:p>
        </w:tc>
      </w:tr>
      <w:tr>
        <w:tc>
          <w:tcPr>
            <w:tcW w:type="dxa" w:w="4656"/>
            <w:vAlign w:val="top"/>
          </w:tcPr>
          <w:p>
            <w:r/>
            <w:r>
              <w:rPr>
                <w:rFonts w:ascii="Aptos" w:hAnsi="Aptos"/>
                <w:b w:val="0"/>
                <w:sz w:val="17"/>
              </w:rPr>
              <w:t>Not Assessed</w:t>
            </w:r>
          </w:p>
        </w:tc>
        <w:tc>
          <w:tcPr>
            <w:tcW w:type="dxa" w:w="4656"/>
            <w:vAlign w:val="top"/>
          </w:tcPr>
          <w:p>
            <w:r/>
            <w:r>
              <w:rPr>
                <w:rFonts w:ascii="Aptos" w:hAnsi="Aptos"/>
                <w:b w:val="0"/>
                <w:sz w:val="17"/>
              </w:rPr>
              <w:t>Input not provided or not applicable.</w:t>
            </w:r>
          </w:p>
        </w:tc>
        <w:tc>
          <w:tcPr>
            <w:tcW w:type="dxa" w:w="4656"/>
            <w:vAlign w:val="top"/>
          </w:tcPr>
          <w:p>
            <w:r/>
            <w:r>
              <w:rPr>
                <w:rFonts w:ascii="Aptos" w:hAnsi="Aptos"/>
                <w:b w:val="0"/>
                <w:sz w:val="17"/>
              </w:rPr>
              <w:t>Post-import file counts unavailable; database not provided.</w:t>
            </w:r>
          </w:p>
        </w:tc>
      </w:tr>
    </w:tbl>
    <w:p/>
    <w:p>
      <w:pPr>
        <w:pStyle w:val="Heading1"/>
      </w:pPr>
      <w:r>
        <w:t>6. Classification Rule Examples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3492"/>
            <w:vAlign w:val="top"/>
            <w:shd w:fill="1F4E79"/>
          </w:tcPr>
          <w:p>
            <w:r/>
            <w:r>
              <w:rPr>
                <w:rFonts w:ascii="Aptos" w:hAnsi="Aptos"/>
                <w:b/>
                <w:color w:val="FFFFFF"/>
                <w:sz w:val="17"/>
              </w:rPr>
              <w:t>Detection Target</w:t>
            </w:r>
          </w:p>
        </w:tc>
        <w:tc>
          <w:tcPr>
            <w:tcW w:type="dxa" w:w="3492"/>
            <w:vAlign w:val="top"/>
            <w:shd w:fill="1F4E79"/>
          </w:tcPr>
          <w:p>
            <w:r/>
            <w:r>
              <w:rPr>
                <w:rFonts w:ascii="Aptos" w:hAnsi="Aptos"/>
                <w:b/>
                <w:color w:val="FFFFFF"/>
                <w:sz w:val="17"/>
              </w:rPr>
              <w:t>Strong Indicators</w:t>
            </w:r>
          </w:p>
        </w:tc>
        <w:tc>
          <w:tcPr>
            <w:tcW w:type="dxa" w:w="3492"/>
            <w:vAlign w:val="top"/>
            <w:shd w:fill="1F4E79"/>
          </w:tcPr>
          <w:p>
            <w:r/>
            <w:r>
              <w:rPr>
                <w:rFonts w:ascii="Aptos" w:hAnsi="Aptos"/>
                <w:b/>
                <w:color w:val="FFFFFF"/>
                <w:sz w:val="17"/>
              </w:rPr>
              <w:t>Weak Indicators</w:t>
            </w:r>
          </w:p>
        </w:tc>
        <w:tc>
          <w:tcPr>
            <w:tcW w:type="dxa" w:w="3492"/>
            <w:vAlign w:val="top"/>
            <w:shd w:fill="1F4E79"/>
          </w:tcPr>
          <w:p>
            <w:r/>
            <w:r>
              <w:rPr>
                <w:rFonts w:ascii="Aptos" w:hAnsi="Aptos"/>
                <w:b/>
                <w:color w:val="FFFFFF"/>
                <w:sz w:val="17"/>
              </w:rPr>
              <w:t>Confidence Rule</w:t>
            </w:r>
          </w:p>
        </w:tc>
      </w:tr>
      <w:tr>
        <w:tc>
          <w:tcPr>
            <w:tcW w:type="dxa" w:w="3492"/>
            <w:vAlign w:val="top"/>
          </w:tcPr>
          <w:p>
            <w:r/>
            <w:r>
              <w:rPr>
                <w:rFonts w:ascii="Aptos" w:hAnsi="Aptos"/>
                <w:b w:val="0"/>
                <w:sz w:val="17"/>
              </w:rPr>
              <w:t>EU eCTD</w:t>
            </w:r>
          </w:p>
        </w:tc>
        <w:tc>
          <w:tcPr>
            <w:tcW w:type="dxa" w:w="3492"/>
            <w:vAlign w:val="top"/>
          </w:tcPr>
          <w:p>
            <w:r/>
            <w:r>
              <w:rPr>
                <w:rFonts w:ascii="Aptos" w:hAnsi="Aptos"/>
                <w:b w:val="0"/>
                <w:sz w:val="17"/>
              </w:rPr>
              <w:t>m1/eu, eu-regional.xml, eCTD sequence folders, index.xml.</w:t>
            </w:r>
          </w:p>
        </w:tc>
        <w:tc>
          <w:tcPr>
            <w:tcW w:type="dxa" w:w="3492"/>
            <w:vAlign w:val="top"/>
          </w:tcPr>
          <w:p>
            <w:r/>
            <w:r>
              <w:rPr>
                <w:rFonts w:ascii="Aptos" w:hAnsi="Aptos"/>
                <w:b w:val="0"/>
                <w:sz w:val="17"/>
              </w:rPr>
              <w:t>EU terms in path or title only.</w:t>
            </w:r>
          </w:p>
        </w:tc>
        <w:tc>
          <w:tcPr>
            <w:tcW w:type="dxa" w:w="3492"/>
            <w:vAlign w:val="top"/>
          </w:tcPr>
          <w:p>
            <w:r/>
            <w:r>
              <w:rPr>
                <w:rFonts w:ascii="Aptos" w:hAnsi="Aptos"/>
                <w:b w:val="0"/>
                <w:sz w:val="17"/>
              </w:rPr>
              <w:t>High when XML and path agree; Medium when only one strong indicator exists.</w:t>
            </w:r>
          </w:p>
        </w:tc>
      </w:tr>
      <w:tr>
        <w:tc>
          <w:tcPr>
            <w:tcW w:type="dxa" w:w="3492"/>
            <w:vAlign w:val="top"/>
          </w:tcPr>
          <w:p>
            <w:r/>
            <w:r>
              <w:rPr>
                <w:rFonts w:ascii="Aptos" w:hAnsi="Aptos"/>
                <w:b w:val="0"/>
                <w:sz w:val="17"/>
              </w:rPr>
              <w:t>US FDA eCTD</w:t>
            </w:r>
          </w:p>
        </w:tc>
        <w:tc>
          <w:tcPr>
            <w:tcW w:type="dxa" w:w="3492"/>
            <w:vAlign w:val="top"/>
          </w:tcPr>
          <w:p>
            <w:r/>
            <w:r>
              <w:rPr>
                <w:rFonts w:ascii="Aptos" w:hAnsi="Aptos"/>
                <w:b w:val="0"/>
                <w:sz w:val="17"/>
              </w:rPr>
              <w:t>us-regional.xml or FDA-specific regional folder, eCTD sequence folders.</w:t>
            </w:r>
          </w:p>
        </w:tc>
        <w:tc>
          <w:tcPr>
            <w:tcW w:type="dxa" w:w="3492"/>
            <w:vAlign w:val="top"/>
          </w:tcPr>
          <w:p>
            <w:r/>
            <w:r>
              <w:rPr>
                <w:rFonts w:ascii="Aptos" w:hAnsi="Aptos"/>
                <w:b w:val="0"/>
                <w:sz w:val="17"/>
              </w:rPr>
              <w:t>FDA in folder name only.</w:t>
            </w:r>
          </w:p>
        </w:tc>
        <w:tc>
          <w:tcPr>
            <w:tcW w:type="dxa" w:w="3492"/>
            <w:vAlign w:val="top"/>
          </w:tcPr>
          <w:p>
            <w:r/>
            <w:r>
              <w:rPr>
                <w:rFonts w:ascii="Aptos" w:hAnsi="Aptos"/>
                <w:b w:val="0"/>
                <w:sz w:val="17"/>
              </w:rPr>
              <w:t>High when regional XML and sequence pattern agree.</w:t>
            </w:r>
          </w:p>
        </w:tc>
      </w:tr>
      <w:tr>
        <w:tc>
          <w:tcPr>
            <w:tcW w:type="dxa" w:w="3492"/>
            <w:vAlign w:val="top"/>
          </w:tcPr>
          <w:p>
            <w:r/>
            <w:r>
              <w:rPr>
                <w:rFonts w:ascii="Aptos" w:hAnsi="Aptos"/>
                <w:b w:val="0"/>
                <w:sz w:val="17"/>
              </w:rPr>
              <w:t>ASMF</w:t>
            </w:r>
          </w:p>
        </w:tc>
        <w:tc>
          <w:tcPr>
            <w:tcW w:type="dxa" w:w="3492"/>
            <w:vAlign w:val="top"/>
          </w:tcPr>
          <w:p>
            <w:r/>
            <w:r>
              <w:rPr>
                <w:rFonts w:ascii="Aptos" w:hAnsi="Aptos"/>
                <w:b w:val="0"/>
                <w:sz w:val="17"/>
              </w:rPr>
              <w:t>ASMF terms, module patterns, customer label, regional indicators.</w:t>
            </w:r>
          </w:p>
        </w:tc>
        <w:tc>
          <w:tcPr>
            <w:tcW w:type="dxa" w:w="3492"/>
            <w:vAlign w:val="top"/>
          </w:tcPr>
          <w:p>
            <w:r/>
            <w:r>
              <w:rPr>
                <w:rFonts w:ascii="Aptos" w:hAnsi="Aptos"/>
                <w:b w:val="0"/>
                <w:sz w:val="17"/>
              </w:rPr>
              <w:t>ASMF in path only.</w:t>
            </w:r>
          </w:p>
        </w:tc>
        <w:tc>
          <w:tcPr>
            <w:tcW w:type="dxa" w:w="3492"/>
            <w:vAlign w:val="top"/>
          </w:tcPr>
          <w:p>
            <w:r/>
            <w:r>
              <w:rPr>
                <w:rFonts w:ascii="Aptos" w:hAnsi="Aptos"/>
                <w:b w:val="0"/>
                <w:sz w:val="17"/>
              </w:rPr>
              <w:t>Medium unless XML/metadata/customer confirmation supports it.</w:t>
            </w:r>
          </w:p>
        </w:tc>
      </w:tr>
      <w:tr>
        <w:tc>
          <w:tcPr>
            <w:tcW w:type="dxa" w:w="3492"/>
            <w:vAlign w:val="top"/>
          </w:tcPr>
          <w:p>
            <w:r/>
            <w:r>
              <w:rPr>
                <w:rFonts w:ascii="Aptos" w:hAnsi="Aptos"/>
                <w:b w:val="0"/>
                <w:sz w:val="17"/>
              </w:rPr>
              <w:t>Unknown</w:t>
            </w:r>
          </w:p>
        </w:tc>
        <w:tc>
          <w:tcPr>
            <w:tcW w:type="dxa" w:w="3492"/>
            <w:vAlign w:val="top"/>
          </w:tcPr>
          <w:p>
            <w:r/>
            <w:r>
              <w:rPr>
                <w:rFonts w:ascii="Aptos" w:hAnsi="Aptos"/>
                <w:b w:val="0"/>
                <w:sz w:val="17"/>
              </w:rPr>
              <w:t>No recognized indicators.</w:t>
            </w:r>
          </w:p>
        </w:tc>
        <w:tc>
          <w:tcPr>
            <w:tcW w:type="dxa" w:w="3492"/>
            <w:vAlign w:val="top"/>
          </w:tcPr>
          <w:p>
            <w:r/>
            <w:r>
              <w:rPr>
                <w:rFonts w:ascii="Aptos" w:hAnsi="Aptos"/>
                <w:b w:val="0"/>
                <w:sz w:val="17"/>
              </w:rPr>
              <w:t>Partial path hints with no mandatory files.</w:t>
            </w:r>
          </w:p>
        </w:tc>
        <w:tc>
          <w:tcPr>
            <w:tcW w:type="dxa" w:w="3492"/>
            <w:vAlign w:val="top"/>
          </w:tcPr>
          <w:p>
            <w:r/>
            <w:r>
              <w:rPr>
                <w:rFonts w:ascii="Aptos" w:hAnsi="Aptos"/>
                <w:b w:val="0"/>
                <w:sz w:val="17"/>
              </w:rPr>
              <w:t>Unknown unless mapping rule supports at least Low confidence.</w:t>
            </w:r>
          </w:p>
        </w:tc>
      </w:tr>
    </w:tbl>
    <w:p/>
    <w:p>
      <w:pPr>
        <w:pStyle w:val="Heading1"/>
      </w:pPr>
      <w:r>
        <w:t>7. Effort Driver Scoring Model</w:t>
      </w:r>
    </w:p>
    <w:tbl>
      <w:tblPr>
        <w:tblStyle w:val="TableGrid"/>
        <w:tblW w:type="auto" w:w="0"/>
        <w:jc w:val="center"/>
        <w:tblLook w:firstColumn="1" w:firstRow="1" w:lastColumn="0" w:lastRow="0" w:noHBand="0" w:noVBand="1" w:val="04A0"/>
      </w:tblPr>
      <w:tblGrid>
        <w:gridCol w:w="4656"/>
        <w:gridCol w:w="4656"/>
        <w:gridCol w:w="4656"/>
      </w:tblGrid>
      <w:tr>
        <w:tc>
          <w:tcPr>
            <w:tcW w:type="dxa" w:w="4656"/>
            <w:vAlign w:val="top"/>
            <w:shd w:fill="1F4E79"/>
          </w:tcPr>
          <w:p>
            <w:r/>
            <w:r>
              <w:rPr>
                <w:rFonts w:ascii="Aptos" w:hAnsi="Aptos"/>
                <w:b/>
                <w:color w:val="FFFFFF"/>
                <w:sz w:val="17"/>
              </w:rPr>
              <w:t>Driver Category</w:t>
            </w:r>
          </w:p>
        </w:tc>
        <w:tc>
          <w:tcPr>
            <w:tcW w:type="dxa" w:w="4656"/>
            <w:vAlign w:val="top"/>
            <w:shd w:fill="1F4E79"/>
          </w:tcPr>
          <w:p>
            <w:r/>
            <w:r>
              <w:rPr>
                <w:rFonts w:ascii="Aptos" w:hAnsi="Aptos"/>
                <w:b/>
                <w:color w:val="FFFFFF"/>
                <w:sz w:val="17"/>
              </w:rPr>
              <w:t>Example Thresholds</w:t>
            </w:r>
          </w:p>
        </w:tc>
        <w:tc>
          <w:tcPr>
            <w:tcW w:type="dxa" w:w="4656"/>
            <w:vAlign w:val="top"/>
            <w:shd w:fill="1F4E79"/>
          </w:tcPr>
          <w:p>
            <w:r/>
            <w:r>
              <w:rPr>
                <w:rFonts w:ascii="Aptos" w:hAnsi="Aptos"/>
                <w:b/>
                <w:color w:val="FFFFFF"/>
                <w:sz w:val="17"/>
              </w:rPr>
              <w:t>Output Impact</w:t>
            </w:r>
          </w:p>
        </w:tc>
      </w:tr>
      <w:tr>
        <w:tc>
          <w:tcPr>
            <w:tcW w:type="dxa" w:w="4656"/>
            <w:vAlign w:val="top"/>
          </w:tcPr>
          <w:p>
            <w:r/>
            <w:r>
              <w:rPr>
                <w:rFonts w:ascii="Aptos" w:hAnsi="Aptos"/>
                <w:b w:val="0"/>
                <w:sz w:val="17"/>
              </w:rPr>
              <w:t>Dossier/sequence volume</w:t>
            </w:r>
          </w:p>
        </w:tc>
        <w:tc>
          <w:tcPr>
            <w:tcW w:type="dxa" w:w="4656"/>
            <w:vAlign w:val="top"/>
          </w:tcPr>
          <w:p>
            <w:r/>
            <w:r>
              <w:rPr>
                <w:rFonts w:ascii="Aptos" w:hAnsi="Aptos"/>
                <w:b w:val="0"/>
                <w:sz w:val="17"/>
              </w:rPr>
              <w:t>Low, Medium, High, Very High thresholds for dossier and sequence counts.</w:t>
            </w:r>
          </w:p>
        </w:tc>
        <w:tc>
          <w:tcPr>
            <w:tcW w:type="dxa" w:w="4656"/>
            <w:vAlign w:val="top"/>
          </w:tcPr>
          <w:p>
            <w:r/>
            <w:r>
              <w:rPr>
                <w:rFonts w:ascii="Aptos" w:hAnsi="Aptos"/>
                <w:b w:val="0"/>
                <w:sz w:val="17"/>
              </w:rPr>
              <w:t>Increases effort complexity and transfer planning.</w:t>
            </w:r>
          </w:p>
        </w:tc>
      </w:tr>
      <w:tr>
        <w:tc>
          <w:tcPr>
            <w:tcW w:type="dxa" w:w="4656"/>
            <w:vAlign w:val="top"/>
          </w:tcPr>
          <w:p>
            <w:r/>
            <w:r>
              <w:rPr>
                <w:rFonts w:ascii="Aptos" w:hAnsi="Aptos"/>
                <w:b w:val="0"/>
                <w:sz w:val="17"/>
              </w:rPr>
              <w:t>Size and transfer</w:t>
            </w:r>
          </w:p>
        </w:tc>
        <w:tc>
          <w:tcPr>
            <w:tcW w:type="dxa" w:w="4656"/>
            <w:vAlign w:val="top"/>
          </w:tcPr>
          <w:p>
            <w:r/>
            <w:r>
              <w:rPr>
                <w:rFonts w:ascii="Aptos" w:hAnsi="Aptos"/>
                <w:b w:val="0"/>
                <w:sz w:val="17"/>
              </w:rPr>
              <w:t>Export, archive, storage, database sizes.</w:t>
            </w:r>
          </w:p>
        </w:tc>
        <w:tc>
          <w:tcPr>
            <w:tcW w:type="dxa" w:w="4656"/>
            <w:vAlign w:val="top"/>
          </w:tcPr>
          <w:p>
            <w:r/>
            <w:r>
              <w:rPr>
                <w:rFonts w:ascii="Aptos" w:hAnsi="Aptos"/>
                <w:b w:val="0"/>
                <w:sz w:val="17"/>
              </w:rPr>
              <w:t>Increases transfer effort and planning questions.</w:t>
            </w:r>
          </w:p>
        </w:tc>
      </w:tr>
      <w:tr>
        <w:tc>
          <w:tcPr>
            <w:tcW w:type="dxa" w:w="4656"/>
            <w:vAlign w:val="top"/>
          </w:tcPr>
          <w:p>
            <w:r/>
            <w:r>
              <w:rPr>
                <w:rFonts w:ascii="Aptos" w:hAnsi="Aptos"/>
                <w:b w:val="0"/>
                <w:sz w:val="17"/>
              </w:rPr>
              <w:t>Structure quality</w:t>
            </w:r>
          </w:p>
        </w:tc>
        <w:tc>
          <w:tcPr>
            <w:tcW w:type="dxa" w:w="4656"/>
            <w:vAlign w:val="top"/>
          </w:tcPr>
          <w:p>
            <w:r/>
            <w:r>
              <w:rPr>
                <w:rFonts w:ascii="Aptos" w:hAnsi="Aptos"/>
                <w:b w:val="0"/>
                <w:sz w:val="17"/>
              </w:rPr>
              <w:t>Amber/Red findings, missing mandatory files, unknown folders.</w:t>
            </w:r>
          </w:p>
        </w:tc>
        <w:tc>
          <w:tcPr>
            <w:tcW w:type="dxa" w:w="4656"/>
            <w:vAlign w:val="top"/>
          </w:tcPr>
          <w:p>
            <w:r/>
            <w:r>
              <w:rPr>
                <w:rFonts w:ascii="Aptos" w:hAnsi="Aptos"/>
                <w:b w:val="0"/>
                <w:sz w:val="17"/>
              </w:rPr>
              <w:t>Increases technical review effort.</w:t>
            </w:r>
          </w:p>
        </w:tc>
      </w:tr>
      <w:tr>
        <w:tc>
          <w:tcPr>
            <w:tcW w:type="dxa" w:w="4656"/>
            <w:vAlign w:val="top"/>
          </w:tcPr>
          <w:p>
            <w:r/>
            <w:r>
              <w:rPr>
                <w:rFonts w:ascii="Aptos" w:hAnsi="Aptos"/>
                <w:b w:val="0"/>
                <w:sz w:val="17"/>
              </w:rPr>
              <w:t>Classification uncertainty</w:t>
            </w:r>
          </w:p>
        </w:tc>
        <w:tc>
          <w:tcPr>
            <w:tcW w:type="dxa" w:w="4656"/>
            <w:vAlign w:val="top"/>
          </w:tcPr>
          <w:p>
            <w:r/>
            <w:r>
              <w:rPr>
                <w:rFonts w:ascii="Aptos" w:hAnsi="Aptos"/>
                <w:b w:val="0"/>
                <w:sz w:val="17"/>
              </w:rPr>
              <w:t>Unknown region/format/type counts.</w:t>
            </w:r>
          </w:p>
        </w:tc>
        <w:tc>
          <w:tcPr>
            <w:tcW w:type="dxa" w:w="4656"/>
            <w:vAlign w:val="top"/>
          </w:tcPr>
          <w:p>
            <w:r/>
            <w:r>
              <w:rPr>
                <w:rFonts w:ascii="Aptos" w:hAnsi="Aptos"/>
                <w:b w:val="0"/>
                <w:sz w:val="17"/>
              </w:rPr>
              <w:t>Reduces confidence and raises clarification items.</w:t>
            </w:r>
          </w:p>
        </w:tc>
      </w:tr>
      <w:tr>
        <w:tc>
          <w:tcPr>
            <w:tcW w:type="dxa" w:w="4656"/>
            <w:vAlign w:val="top"/>
          </w:tcPr>
          <w:p>
            <w:r/>
            <w:r>
              <w:rPr>
                <w:rFonts w:ascii="Aptos" w:hAnsi="Aptos"/>
                <w:b w:val="0"/>
                <w:sz w:val="17"/>
              </w:rPr>
              <w:t>Mixed scope</w:t>
            </w:r>
          </w:p>
        </w:tc>
        <w:tc>
          <w:tcPr>
            <w:tcW w:type="dxa" w:w="4656"/>
            <w:vAlign w:val="top"/>
          </w:tcPr>
          <w:p>
            <w:r/>
            <w:r>
              <w:rPr>
                <w:rFonts w:ascii="Aptos" w:hAnsi="Aptos"/>
                <w:b w:val="0"/>
                <w:sz w:val="17"/>
              </w:rPr>
              <w:t>Multiple regions, formats, types, authorities.</w:t>
            </w:r>
          </w:p>
        </w:tc>
        <w:tc>
          <w:tcPr>
            <w:tcW w:type="dxa" w:w="4656"/>
            <w:vAlign w:val="top"/>
          </w:tcPr>
          <w:p>
            <w:r/>
            <w:r>
              <w:rPr>
                <w:rFonts w:ascii="Aptos" w:hAnsi="Aptos"/>
                <w:b w:val="0"/>
                <w:sz w:val="17"/>
              </w:rPr>
              <w:t>Increases review and mapping complexity.</w:t>
            </w:r>
          </w:p>
        </w:tc>
      </w:tr>
      <w:tr>
        <w:tc>
          <w:tcPr>
            <w:tcW w:type="dxa" w:w="4656"/>
            <w:vAlign w:val="top"/>
          </w:tcPr>
          <w:p>
            <w:r/>
            <w:r>
              <w:rPr>
                <w:rFonts w:ascii="Aptos" w:hAnsi="Aptos"/>
                <w:b w:val="0"/>
                <w:sz w:val="17"/>
              </w:rPr>
              <w:t>Readiness quality</w:t>
            </w:r>
          </w:p>
        </w:tc>
        <w:tc>
          <w:tcPr>
            <w:tcW w:type="dxa" w:w="4656"/>
            <w:vAlign w:val="top"/>
          </w:tcPr>
          <w:p>
            <w:r/>
            <w:r>
              <w:rPr>
                <w:rFonts w:ascii="Aptos" w:hAnsi="Aptos"/>
                <w:b w:val="0"/>
                <w:sz w:val="17"/>
              </w:rPr>
              <w:t>Missing backup/access/storage/cleanup inputs.</w:t>
            </w:r>
          </w:p>
        </w:tc>
        <w:tc>
          <w:tcPr>
            <w:tcW w:type="dxa" w:w="4656"/>
            <w:vAlign w:val="top"/>
          </w:tcPr>
          <w:p>
            <w:r/>
            <w:r>
              <w:rPr>
                <w:rFonts w:ascii="Aptos" w:hAnsi="Aptos"/>
                <w:b w:val="0"/>
                <w:sz w:val="17"/>
              </w:rPr>
              <w:t>Can create readiness blocker or accepted exception.</w:t>
            </w:r>
          </w:p>
        </w:tc>
      </w:tr>
    </w:tbl>
    <w:p/>
    <w:p>
      <w:pPr>
        <w:pStyle w:val="Heading1"/>
      </w:pPr>
      <w:r>
        <w:t>8. Mapping Workbook Validation Controls</w:t>
      </w:r>
    </w:p>
    <w:p>
      <w:pPr>
        <w:pStyle w:val="ListBullet"/>
      </w:pPr>
      <w:r>
        <w:t>Every rule must have a stable RuleId.</w:t>
      </w:r>
    </w:p>
    <w:p>
      <w:pPr>
        <w:pStyle w:val="ListBullet"/>
      </w:pPr>
      <w:r>
        <w:t>Inactive rules must not be executed but may remain for history.</w:t>
      </w:r>
    </w:p>
    <w:p>
      <w:pPr>
        <w:pStyle w:val="ListBullet"/>
      </w:pPr>
      <w:r>
        <w:t>Duplicate RuleIds must be rejected.</w:t>
      </w:r>
    </w:p>
    <w:p>
      <w:pPr>
        <w:pStyle w:val="ListBullet"/>
      </w:pPr>
      <w:r>
        <w:t>Missing required sheets must stop execution.</w:t>
      </w:r>
    </w:p>
    <w:p>
      <w:pPr>
        <w:pStyle w:val="ListBullet"/>
      </w:pPr>
      <w:r>
        <w:t>Empty critical columns must produce a mapping validation error.</w:t>
      </w:r>
    </w:p>
    <w:p>
      <w:pPr>
        <w:pStyle w:val="ListBullet"/>
      </w:pPr>
      <w:r>
        <w:t>Recommendations referenced by rule IDs must exist.</w:t>
      </w:r>
    </w:p>
    <w:p>
      <w:pPr>
        <w:pStyle w:val="ListBullet"/>
      </w:pPr>
      <w:r>
        <w:t>Effort driver weights must be numeric and within approved range.</w:t>
      </w:r>
    </w:p>
    <w:p>
      <w:pPr>
        <w:pStyle w:val="ListBullet"/>
      </w:pPr>
      <w:r>
        <w:t>RAG values must be restricted to approved values.</w:t>
      </w:r>
    </w:p>
    <w:p>
      <w:pPr>
        <w:pStyle w:val="Heading1"/>
      </w:pPr>
      <w:r>
        <w:t>9. Change Control Guidance</w:t>
      </w:r>
    </w:p>
    <w:p>
      <w:pPr>
        <w:pStyle w:val="ListBullet"/>
      </w:pPr>
      <w:r>
        <w:t>Regulatory or business rule changes should be made in the mapping workbook first.</w:t>
      </w:r>
    </w:p>
    <w:p>
      <w:pPr>
        <w:pStyle w:val="ListBullet"/>
      </w:pPr>
      <w:r>
        <w:t>Workbook version should be incremented and documented in Workbook_Control.</w:t>
      </w:r>
    </w:p>
    <w:p>
      <w:pPr>
        <w:pStyle w:val="ListBullet"/>
      </w:pPr>
      <w:r>
        <w:t>Mapping workbook validation should be executed before using the workbook in customer assessments.</w:t>
      </w:r>
    </w:p>
    <w:p>
      <w:pPr>
        <w:pStyle w:val="ListBullet"/>
      </w:pPr>
      <w:r>
        <w:t>Changes to classification rules should be peer-reviewed by a regulatory/technical SME before release.</w:t>
      </w:r>
    </w:p>
    <w:sectPr w:rsidR="00FC693F" w:rsidRPr="0006063C" w:rsidSect="00034616">
      <w:headerReference w:type="default" r:id="rId9"/>
      <w:footerReference w:type="default" r:id="rId10"/>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EXTEDO | a cormeo brand | Confluence ID 1386873065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eMAS - eCTD Migration Assessment Script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