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EXTEDO | a cormeo brand</w:t>
      </w:r>
    </w:p>
    <w:p/>
    <w:p>
      <w:pPr>
        <w:jc w:val="center"/>
      </w:pPr>
      <w:r>
        <w:rPr>
          <w:b/>
          <w:color w:val="1F4E79"/>
          <w:sz w:val="44"/>
        </w:rPr>
        <w:t>eMAS User &amp; Administrator Guide</w:t>
      </w:r>
    </w:p>
    <w:p>
      <w:pPr>
        <w:jc w:val="center"/>
      </w:pPr>
      <w:r>
        <w:rPr>
          <w:sz w:val="26"/>
        </w:rPr>
        <w:t>Execution guidance, customer instructions, mapping maintenance, and troubleshooting</w:t>
      </w:r>
    </w:p>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Project</w:t>
            </w:r>
          </w:p>
        </w:tc>
        <w:tc>
          <w:tcPr>
            <w:tcW w:type="dxa" w:w="5184"/>
            <w:vAlign w:val="top"/>
          </w:tcPr>
          <w:p>
            <w:r/>
            <w:r>
              <w:rPr>
                <w:rFonts w:ascii="Aptos" w:hAnsi="Aptos"/>
                <w:b w:val="0"/>
                <w:sz w:val="18"/>
              </w:rPr>
              <w:t>eMAS - eCTD Migration Assessment Script</w:t>
            </w:r>
          </w:p>
        </w:tc>
      </w:tr>
      <w:tr>
        <w:tc>
          <w:tcPr>
            <w:tcW w:type="dxa" w:w="5184"/>
            <w:vAlign w:val="top"/>
            <w:shd w:fill="D9EAF7"/>
          </w:tcPr>
          <w:p>
            <w:r/>
            <w:r>
              <w:rPr>
                <w:rFonts w:ascii="Aptos" w:hAnsi="Aptos"/>
                <w:b/>
                <w:sz w:val="18"/>
              </w:rPr>
              <w:t>Document Version</w:t>
            </w:r>
          </w:p>
        </w:tc>
        <w:tc>
          <w:tcPr>
            <w:tcW w:type="dxa" w:w="5184"/>
            <w:vAlign w:val="top"/>
          </w:tcPr>
          <w:p>
            <w:r/>
            <w:r>
              <w:rPr>
                <w:rFonts w:ascii="Aptos" w:hAnsi="Aptos"/>
                <w:b w:val="0"/>
                <w:sz w:val="18"/>
              </w:rPr>
              <w:t>Version 2.0</w:t>
            </w:r>
          </w:p>
        </w:tc>
      </w:tr>
      <w:tr>
        <w:tc>
          <w:tcPr>
            <w:tcW w:type="dxa" w:w="5184"/>
            <w:vAlign w:val="top"/>
            <w:shd w:fill="D9EAF7"/>
          </w:tcPr>
          <w:p>
            <w:r/>
            <w:r>
              <w:rPr>
                <w:rFonts w:ascii="Aptos" w:hAnsi="Aptos"/>
                <w:b/>
                <w:sz w:val="18"/>
              </w:rPr>
              <w:t>Confluence Traceability ID</w:t>
            </w:r>
          </w:p>
        </w:tc>
        <w:tc>
          <w:tcPr>
            <w:tcW w:type="dxa" w:w="5184"/>
            <w:vAlign w:val="top"/>
          </w:tcPr>
          <w:p>
            <w:r/>
            <w:r>
              <w:rPr>
                <w:rFonts w:ascii="Aptos" w:hAnsi="Aptos"/>
                <w:b w:val="0"/>
                <w:sz w:val="18"/>
              </w:rPr>
              <w:t>1386873065</w:t>
            </w:r>
          </w:p>
        </w:tc>
      </w:tr>
      <w:tr>
        <w:tc>
          <w:tcPr>
            <w:tcW w:type="dxa" w:w="5184"/>
            <w:vAlign w:val="top"/>
            <w:shd w:fill="D9EAF7"/>
          </w:tcPr>
          <w:p>
            <w:r/>
            <w:r>
              <w:rPr>
                <w:rFonts w:ascii="Aptos" w:hAnsi="Aptos"/>
                <w:b/>
                <w:sz w:val="18"/>
              </w:rPr>
              <w:t>Status</w:t>
            </w:r>
          </w:p>
        </w:tc>
        <w:tc>
          <w:tcPr>
            <w:tcW w:type="dxa" w:w="5184"/>
            <w:vAlign w:val="top"/>
          </w:tcPr>
          <w:p>
            <w:r/>
            <w:r>
              <w:rPr>
                <w:rFonts w:ascii="Aptos" w:hAnsi="Aptos"/>
                <w:b w:val="0"/>
                <w:sz w:val="18"/>
              </w:rPr>
              <w:t>Draft for internal peer review</w:t>
            </w:r>
          </w:p>
        </w:tc>
      </w:tr>
      <w:tr>
        <w:tc>
          <w:tcPr>
            <w:tcW w:type="dxa" w:w="5184"/>
            <w:vAlign w:val="top"/>
            <w:shd w:fill="D9EAF7"/>
          </w:tcPr>
          <w:p>
            <w:r/>
            <w:r>
              <w:rPr>
                <w:rFonts w:ascii="Aptos" w:hAnsi="Aptos"/>
                <w:b/>
                <w:sz w:val="18"/>
              </w:rPr>
              <w:t>Generated Date</w:t>
            </w:r>
          </w:p>
        </w:tc>
        <w:tc>
          <w:tcPr>
            <w:tcW w:type="dxa" w:w="5184"/>
            <w:vAlign w:val="top"/>
          </w:tcPr>
          <w:p>
            <w:r/>
            <w:r>
              <w:rPr>
                <w:rFonts w:ascii="Aptos" w:hAnsi="Aptos"/>
                <w:b w:val="0"/>
                <w:sz w:val="18"/>
              </w:rPr>
              <w:t>10 July 2026</w:t>
            </w:r>
          </w:p>
        </w:tc>
      </w:tr>
      <w:tr>
        <w:tc>
          <w:tcPr>
            <w:tcW w:type="dxa" w:w="5184"/>
            <w:vAlign w:val="top"/>
            <w:shd w:fill="D9EAF7"/>
          </w:tcPr>
          <w:p>
            <w:r/>
            <w:r>
              <w:rPr>
                <w:rFonts w:ascii="Aptos" w:hAnsi="Aptos"/>
                <w:b/>
                <w:sz w:val="18"/>
              </w:rPr>
              <w:t>Document Control</w:t>
            </w:r>
          </w:p>
        </w:tc>
        <w:tc>
          <w:tcPr>
            <w:tcW w:type="dxa" w:w="5184"/>
            <w:vAlign w:val="top"/>
          </w:tcPr>
          <w:p>
            <w:r/>
            <w:r>
              <w:rPr>
                <w:rFonts w:ascii="Aptos" w:hAnsi="Aptos"/>
                <w:b w:val="0"/>
                <w:sz w:val="18"/>
              </w:rPr>
              <w:t>Prepared for EXTEDO eCTDmanager migration assessment design</w:t>
            </w:r>
          </w:p>
        </w:tc>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Purpose</w:t>
            </w:r>
          </w:p>
        </w:tc>
        <w:tc>
          <w:tcPr>
            <w:tcW w:type="dxa" w:w="5184"/>
            <w:vAlign w:val="top"/>
          </w:tcPr>
          <w:p>
            <w:r/>
            <w:r>
              <w:rPr>
                <w:rFonts w:ascii="Aptos" w:hAnsi="Aptos"/>
                <w:b w:val="0"/>
                <w:sz w:val="18"/>
              </w:rPr>
              <w:t>Provides practical guidance for consultants and administrators to execute eMAS scripts, collect inputs, interpret reports, update mappings, and troubleshoot issues.</w:t>
            </w:r>
          </w:p>
        </w:tc>
      </w:tr>
      <w:tr>
        <w:tc>
          <w:tcPr>
            <w:tcW w:type="dxa" w:w="5184"/>
            <w:vAlign w:val="top"/>
            <w:shd w:fill="D9EAF7"/>
          </w:tcPr>
          <w:p>
            <w:r/>
            <w:r>
              <w:rPr>
                <w:rFonts w:ascii="Aptos" w:hAnsi="Aptos"/>
                <w:b/>
                <w:sz w:val="18"/>
              </w:rPr>
              <w:t>Audience</w:t>
            </w:r>
          </w:p>
        </w:tc>
        <w:tc>
          <w:tcPr>
            <w:tcW w:type="dxa" w:w="5184"/>
            <w:vAlign w:val="top"/>
          </w:tcPr>
          <w:p>
            <w:r/>
            <w:r>
              <w:rPr>
                <w:rFonts w:ascii="Aptos" w:hAnsi="Aptos"/>
                <w:b w:val="0"/>
                <w:sz w:val="18"/>
              </w:rPr>
              <w:t>Pre-sales, technical consultants, migration team, project management, validation stakeholders, and PowerShell developers.</w:t>
            </w:r>
          </w:p>
        </w:tc>
      </w:tr>
      <w:tr>
        <w:tc>
          <w:tcPr>
            <w:tcW w:type="dxa" w:w="5184"/>
            <w:vAlign w:val="top"/>
            <w:shd w:fill="D9EAF7"/>
          </w:tcPr>
          <w:p>
            <w:r/>
            <w:r>
              <w:rPr>
                <w:rFonts w:ascii="Aptos" w:hAnsi="Aptos"/>
                <w:b/>
                <w:sz w:val="18"/>
              </w:rPr>
              <w:t>Important Positioning</w:t>
            </w:r>
          </w:p>
        </w:tc>
        <w:tc>
          <w:tcPr>
            <w:tcW w:type="dxa" w:w="5184"/>
            <w:vAlign w:val="top"/>
          </w:tcPr>
          <w:p>
            <w:r/>
            <w:r>
              <w:rPr>
                <w:rFonts w:ascii="Aptos" w:hAnsi="Aptos"/>
                <w:b w:val="0"/>
                <w:sz w:val="18"/>
              </w:rPr>
              <w:t>eMAS is a professional, read-only, script-based assessment approach. It is not a migration execution tool, not an AI-based system, and not a replacement for regulatory or customer validation.</w:t>
            </w:r>
          </w:p>
        </w:tc>
      </w:tr>
      <w:tr>
        <w:tc>
          <w:tcPr>
            <w:tcW w:type="dxa" w:w="5184"/>
            <w:vAlign w:val="top"/>
            <w:shd w:fill="D9EAF7"/>
          </w:tcPr>
          <w:p>
            <w:r/>
            <w:r>
              <w:rPr>
                <w:rFonts w:ascii="Aptos" w:hAnsi="Aptos"/>
                <w:b/>
                <w:sz w:val="18"/>
              </w:rPr>
              <w:t>Branding</w:t>
            </w:r>
          </w:p>
        </w:tc>
        <w:tc>
          <w:tcPr>
            <w:tcW w:type="dxa" w:w="5184"/>
            <w:vAlign w:val="top"/>
          </w:tcPr>
          <w:p>
            <w:r/>
            <w:r>
              <w:rPr>
                <w:rFonts w:ascii="Aptos" w:hAnsi="Aptos"/>
                <w:b w:val="0"/>
                <w:sz w:val="18"/>
              </w:rPr>
              <w:t>EXTEDO | a cormeo brand</w:t>
            </w:r>
          </w:p>
        </w:tc>
      </w:tr>
      <w:tr>
        <w:tc>
          <w:tcPr>
            <w:tcW w:type="dxa" w:w="5184"/>
            <w:vAlign w:val="top"/>
            <w:shd w:fill="D9EAF7"/>
          </w:tcPr>
          <w:p>
            <w:r/>
            <w:r>
              <w:rPr>
                <w:rFonts w:ascii="Aptos" w:hAnsi="Aptos"/>
                <w:b/>
                <w:sz w:val="18"/>
              </w:rPr>
              <w:t>Traceability</w:t>
            </w:r>
          </w:p>
        </w:tc>
        <w:tc>
          <w:tcPr>
            <w:tcW w:type="dxa" w:w="5184"/>
            <w:vAlign w:val="top"/>
          </w:tcPr>
          <w:p>
            <w:r/>
            <w:r>
              <w:rPr>
                <w:rFonts w:ascii="Aptos" w:hAnsi="Aptos"/>
                <w:b w:val="0"/>
                <w:sz w:val="18"/>
              </w:rPr>
              <w:t>Confluence ID 1386873065</w:t>
            </w:r>
          </w:p>
        </w:tc>
      </w:tr>
    </w:tbl>
    <w:p/>
    <w:p>
      <w:pPr>
        <w:pStyle w:val="Heading2"/>
      </w:pPr>
      <w:r>
        <w:t>Revision History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rFonts w:ascii="Aptos" w:hAnsi="Aptos"/>
                <w:b/>
                <w:color w:val="FFFFFF"/>
                <w:sz w:val="17"/>
              </w:rPr>
              <w:t>Version</w:t>
            </w:r>
          </w:p>
        </w:tc>
        <w:tc>
          <w:tcPr>
            <w:tcW w:type="dxa" w:w="2592"/>
            <w:vAlign w:val="top"/>
            <w:shd w:fill="1F4E79"/>
          </w:tcPr>
          <w:p>
            <w:r/>
            <w:r>
              <w:rPr>
                <w:rFonts w:ascii="Aptos" w:hAnsi="Aptos"/>
                <w:b/>
                <w:color w:val="FFFFFF"/>
                <w:sz w:val="17"/>
              </w:rPr>
              <w:t>Date</w:t>
            </w:r>
          </w:p>
        </w:tc>
        <w:tc>
          <w:tcPr>
            <w:tcW w:type="dxa" w:w="2592"/>
            <w:vAlign w:val="top"/>
            <w:shd w:fill="1F4E79"/>
          </w:tcPr>
          <w:p>
            <w:r/>
            <w:r>
              <w:rPr>
                <w:rFonts w:ascii="Aptos" w:hAnsi="Aptos"/>
                <w:b/>
                <w:color w:val="FFFFFF"/>
                <w:sz w:val="17"/>
              </w:rPr>
              <w:t>Change Summary</w:t>
            </w:r>
          </w:p>
        </w:tc>
        <w:tc>
          <w:tcPr>
            <w:tcW w:type="dxa" w:w="2592"/>
            <w:vAlign w:val="top"/>
            <w:shd w:fill="1F4E79"/>
          </w:tcPr>
          <w:p>
            <w:r/>
            <w:r>
              <w:rPr>
                <w:rFonts w:ascii="Aptos" w:hAnsi="Aptos"/>
                <w:b/>
                <w:color w:val="FFFFFF"/>
                <w:sz w:val="17"/>
              </w:rPr>
              <w:t>Owner</w:t>
            </w:r>
          </w:p>
        </w:tc>
      </w:tr>
      <w:tr>
        <w:tc>
          <w:tcPr>
            <w:tcW w:type="dxa" w:w="2592"/>
            <w:vAlign w:val="top"/>
          </w:tcPr>
          <w:p>
            <w:r/>
            <w:r>
              <w:rPr>
                <w:rFonts w:ascii="Aptos" w:hAnsi="Aptos"/>
                <w:b w:val="0"/>
                <w:sz w:val="17"/>
              </w:rPr>
              <w:t>1.0</w:t>
            </w:r>
          </w:p>
        </w:tc>
        <w:tc>
          <w:tcPr>
            <w:tcW w:type="dxa" w:w="2592"/>
            <w:vAlign w:val="top"/>
          </w:tcPr>
          <w:p>
            <w:r/>
            <w:r>
              <w:rPr>
                <w:rFonts w:ascii="Aptos" w:hAnsi="Aptos"/>
                <w:b w:val="0"/>
                <w:sz w:val="17"/>
              </w:rPr>
              <w:t>Earlier draft</w:t>
            </w:r>
          </w:p>
        </w:tc>
        <w:tc>
          <w:tcPr>
            <w:tcW w:type="dxa" w:w="2592"/>
            <w:vAlign w:val="top"/>
          </w:tcPr>
          <w:p>
            <w:r/>
            <w:r>
              <w:rPr>
                <w:rFonts w:ascii="Aptos" w:hAnsi="Aptos"/>
                <w:b w:val="0"/>
                <w:sz w:val="17"/>
              </w:rPr>
              <w:t>Initial prompt and pre-sales script design baseline.</w:t>
            </w:r>
          </w:p>
        </w:tc>
        <w:tc>
          <w:tcPr>
            <w:tcW w:type="dxa" w:w="2592"/>
            <w:vAlign w:val="top"/>
          </w:tcPr>
          <w:p>
            <w:r/>
            <w:r>
              <w:rPr>
                <w:rFonts w:ascii="Aptos" w:hAnsi="Aptos"/>
                <w:b w:val="0"/>
                <w:sz w:val="17"/>
              </w:rPr>
              <w:t>Project team</w:t>
            </w:r>
          </w:p>
        </w:tc>
      </w:tr>
      <w:tr>
        <w:tc>
          <w:tcPr>
            <w:tcW w:type="dxa" w:w="2592"/>
            <w:vAlign w:val="top"/>
          </w:tcPr>
          <w:p>
            <w:r/>
            <w:r>
              <w:rPr>
                <w:rFonts w:ascii="Aptos" w:hAnsi="Aptos"/>
                <w:b w:val="0"/>
                <w:sz w:val="17"/>
              </w:rPr>
              <w:t>2.0</w:t>
            </w:r>
          </w:p>
        </w:tc>
        <w:tc>
          <w:tcPr>
            <w:tcW w:type="dxa" w:w="2592"/>
            <w:vAlign w:val="top"/>
          </w:tcPr>
          <w:p>
            <w:r/>
            <w:r>
              <w:rPr>
                <w:rFonts w:ascii="Aptos" w:hAnsi="Aptos"/>
                <w:b w:val="0"/>
                <w:sz w:val="17"/>
              </w:rPr>
              <w:t>10 July 2026</w:t>
            </w:r>
          </w:p>
        </w:tc>
        <w:tc>
          <w:tcPr>
            <w:tcW w:type="dxa" w:w="2592"/>
            <w:vAlign w:val="top"/>
          </w:tcPr>
          <w:p>
            <w:r/>
            <w:r>
              <w:rPr>
                <w:rFonts w:ascii="Aptos" w:hAnsi="Aptos"/>
                <w:b w:val="0"/>
                <w:sz w:val="17"/>
              </w:rPr>
              <w:t>Consolidated documentation pack covering mapping-driven design, RAG folder validation, dossier classification, effort drivers, report specifications, development guide, testing, and user guidance.</w:t>
            </w:r>
          </w:p>
        </w:tc>
        <w:tc>
          <w:tcPr>
            <w:tcW w:type="dxa" w:w="2592"/>
            <w:vAlign w:val="top"/>
          </w:tcPr>
          <w:p>
            <w:r/>
            <w:r>
              <w:rPr>
                <w:rFonts w:ascii="Aptos" w:hAnsi="Aptos"/>
                <w:b w:val="0"/>
                <w:sz w:val="17"/>
              </w:rPr>
              <w:t>Project team</w:t>
            </w:r>
          </w:p>
        </w:tc>
      </w:tr>
    </w:tbl>
    <w:p/>
    <w:p>
      <w:pPr>
        <w:pStyle w:val="Heading1"/>
      </w:pPr>
      <w:r>
        <w:t>1. Intended Users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rFonts w:ascii="Aptos" w:hAnsi="Aptos"/>
                <w:b/>
                <w:color w:val="FFFFFF"/>
                <w:sz w:val="17"/>
              </w:rPr>
              <w:t>User Type</w:t>
            </w:r>
          </w:p>
        </w:tc>
        <w:tc>
          <w:tcPr>
            <w:tcW w:type="dxa" w:w="5184"/>
            <w:vAlign w:val="top"/>
            <w:shd w:fill="1F4E79"/>
          </w:tcPr>
          <w:p>
            <w:r/>
            <w:r>
              <w:rPr>
                <w:rFonts w:ascii="Aptos" w:hAnsi="Aptos"/>
                <w:b/>
                <w:color w:val="FFFFFF"/>
                <w:sz w:val="17"/>
              </w:rPr>
              <w:t>Typical Tasks</w:t>
            </w:r>
          </w:p>
        </w:tc>
      </w:tr>
      <w:tr>
        <w:tc>
          <w:tcPr>
            <w:tcW w:type="dxa" w:w="5184"/>
            <w:vAlign w:val="top"/>
          </w:tcPr>
          <w:p>
            <w:r/>
            <w:r>
              <w:rPr>
                <w:rFonts w:ascii="Aptos" w:hAnsi="Aptos"/>
                <w:b w:val="0"/>
                <w:sz w:val="17"/>
              </w:rPr>
              <w:t>Pre-sales consultant</w:t>
            </w:r>
          </w:p>
        </w:tc>
        <w:tc>
          <w:tcPr>
            <w:tcW w:type="dxa" w:w="5184"/>
            <w:vAlign w:val="top"/>
          </w:tcPr>
          <w:p>
            <w:r/>
            <w:r>
              <w:rPr>
                <w:rFonts w:ascii="Aptos" w:hAnsi="Aptos"/>
                <w:b w:val="0"/>
                <w:sz w:val="17"/>
              </w:rPr>
              <w:t>Request customer export, run pre-sales script, review effort drivers, prepare clarification list.</w:t>
            </w:r>
          </w:p>
        </w:tc>
      </w:tr>
      <w:tr>
        <w:tc>
          <w:tcPr>
            <w:tcW w:type="dxa" w:w="5184"/>
            <w:vAlign w:val="top"/>
          </w:tcPr>
          <w:p>
            <w:r/>
            <w:r>
              <w:rPr>
                <w:rFonts w:ascii="Aptos" w:hAnsi="Aptos"/>
                <w:b w:val="0"/>
                <w:sz w:val="17"/>
              </w:rPr>
              <w:t>Technical consultant</w:t>
            </w:r>
          </w:p>
        </w:tc>
        <w:tc>
          <w:tcPr>
            <w:tcW w:type="dxa" w:w="5184"/>
            <w:vAlign w:val="top"/>
          </w:tcPr>
          <w:p>
            <w:r/>
            <w:r>
              <w:rPr>
                <w:rFonts w:ascii="Aptos" w:hAnsi="Aptos"/>
                <w:b w:val="0"/>
                <w:sz w:val="17"/>
              </w:rPr>
              <w:t>Run readiness checks, review blockers, prepare cleanup actions, support migration preparation.</w:t>
            </w:r>
          </w:p>
        </w:tc>
      </w:tr>
      <w:tr>
        <w:tc>
          <w:tcPr>
            <w:tcW w:type="dxa" w:w="5184"/>
            <w:vAlign w:val="top"/>
          </w:tcPr>
          <w:p>
            <w:r/>
            <w:r>
              <w:rPr>
                <w:rFonts w:ascii="Aptos" w:hAnsi="Aptos"/>
                <w:b w:val="0"/>
                <w:sz w:val="17"/>
              </w:rPr>
              <w:t>Migration consultant</w:t>
            </w:r>
          </w:p>
        </w:tc>
        <w:tc>
          <w:tcPr>
            <w:tcW w:type="dxa" w:w="5184"/>
            <w:vAlign w:val="top"/>
          </w:tcPr>
          <w:p>
            <w:r/>
            <w:r>
              <w:rPr>
                <w:rFonts w:ascii="Aptos" w:hAnsi="Aptos"/>
                <w:b w:val="0"/>
                <w:sz w:val="17"/>
              </w:rPr>
              <w:t>Use readiness baseline and post-migration verification report for reconciliation.</w:t>
            </w:r>
          </w:p>
        </w:tc>
      </w:tr>
      <w:tr>
        <w:tc>
          <w:tcPr>
            <w:tcW w:type="dxa" w:w="5184"/>
            <w:vAlign w:val="top"/>
          </w:tcPr>
          <w:p>
            <w:r/>
            <w:r>
              <w:rPr>
                <w:rFonts w:ascii="Aptos" w:hAnsi="Aptos"/>
                <w:b w:val="0"/>
                <w:sz w:val="17"/>
              </w:rPr>
              <w:t>Project manager</w:t>
            </w:r>
          </w:p>
        </w:tc>
        <w:tc>
          <w:tcPr>
            <w:tcW w:type="dxa" w:w="5184"/>
            <w:vAlign w:val="top"/>
          </w:tcPr>
          <w:p>
            <w:r/>
            <w:r>
              <w:rPr>
                <w:rFonts w:ascii="Aptos" w:hAnsi="Aptos"/>
                <w:b w:val="0"/>
                <w:sz w:val="17"/>
              </w:rPr>
              <w:t>Track missing inputs, customer decisions, exceptions, and sign-off discussion items.</w:t>
            </w:r>
          </w:p>
        </w:tc>
      </w:tr>
      <w:tr>
        <w:tc>
          <w:tcPr>
            <w:tcW w:type="dxa" w:w="5184"/>
            <w:vAlign w:val="top"/>
          </w:tcPr>
          <w:p>
            <w:r/>
            <w:r>
              <w:rPr>
                <w:rFonts w:ascii="Aptos" w:hAnsi="Aptos"/>
                <w:b w:val="0"/>
                <w:sz w:val="17"/>
              </w:rPr>
              <w:t>Mapping administrator</w:t>
            </w:r>
          </w:p>
        </w:tc>
        <w:tc>
          <w:tcPr>
            <w:tcW w:type="dxa" w:w="5184"/>
            <w:vAlign w:val="top"/>
          </w:tcPr>
          <w:p>
            <w:r/>
            <w:r>
              <w:rPr>
                <w:rFonts w:ascii="Aptos" w:hAnsi="Aptos"/>
                <w:b w:val="0"/>
                <w:sz w:val="17"/>
              </w:rPr>
              <w:t>Maintain mapping workbook rules, thresholds, recommendations, and version control.</w:t>
            </w:r>
          </w:p>
        </w:tc>
      </w:tr>
    </w:tbl>
    <w:p/>
    <w:p>
      <w:pPr>
        <w:pStyle w:val="Heading1"/>
      </w:pPr>
      <w:r>
        <w:t>2. General Execution Rules</w:t>
      </w:r>
    </w:p>
    <w:p>
      <w:pPr>
        <w:pStyle w:val="ListBullet"/>
      </w:pPr>
      <w:r>
        <w:t>Run scripts from a folder where the user has write access for output files.</w:t>
      </w:r>
    </w:p>
    <w:p>
      <w:pPr>
        <w:pStyle w:val="ListBullet"/>
      </w:pPr>
      <w:r>
        <w:t>Use read access to customer export/archive/storage folders.</w:t>
      </w:r>
    </w:p>
    <w:p>
      <w:pPr>
        <w:pStyle w:val="ListBullet"/>
      </w:pPr>
      <w:r>
        <w:t>Do not run scripts with unnecessary administrator privileges unless access requires it.</w:t>
      </w:r>
    </w:p>
    <w:p>
      <w:pPr>
        <w:pStyle w:val="ListBullet"/>
      </w:pPr>
      <w:r>
        <w:t>Provide generated workbook and log file together.</w:t>
      </w:r>
    </w:p>
    <w:p>
      <w:pPr>
        <w:pStyle w:val="ListBullet"/>
      </w:pPr>
      <w:r>
        <w:t>Do not edit raw evidence sheets in output reports unless creating a separate reviewed copy.</w:t>
      </w:r>
    </w:p>
    <w:p>
      <w:pPr>
        <w:pStyle w:val="ListBullet"/>
      </w:pPr>
      <w:r>
        <w:t>When information is missing, use report clarifications rather than assuming values.</w:t>
      </w:r>
    </w:p>
    <w:p>
      <w:pPr>
        <w:pStyle w:val="Heading1"/>
      </w:pPr>
      <w:r>
        <w:t>3. Pre-Sales Customer Instruction Text</w:t>
      </w:r>
    </w:p>
    <w:p>
      <w:r>
        <w:t>Please run the attached eMAS pre-sales assessment script on the exported dossier folder from the source eCTD system. eMAS stands for eCTD Migration Assessment Script. The script is read-only and will not modify, delete, import, or validate any submission data. It scans the physical export folder structure and creates an Excel workbook that helps EXTEDO estimate migration scope and effort for import into eCTDmanager.</w:t>
      </w:r>
    </w:p>
    <w:p>
      <w:r>
        <w:t>After execution, please provide EXTEDO with the generated Excel workbook and log file from the output folder.</w:t>
      </w:r>
    </w:p>
    <w:p>
      <w:pPr>
        <w:pStyle w:val="Heading1"/>
      </w:pPr>
      <w:r>
        <w:t>4. Example Commands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rFonts w:ascii="Aptos" w:hAnsi="Aptos"/>
                <w:b/>
                <w:color w:val="FFFFFF"/>
                <w:sz w:val="15"/>
              </w:rPr>
              <w:t>Use Case</w:t>
            </w:r>
          </w:p>
        </w:tc>
        <w:tc>
          <w:tcPr>
            <w:tcW w:type="dxa" w:w="5184"/>
            <w:vAlign w:val="top"/>
            <w:shd w:fill="1F4E79"/>
          </w:tcPr>
          <w:p>
            <w:r/>
            <w:r>
              <w:rPr>
                <w:rFonts w:ascii="Aptos" w:hAnsi="Aptos"/>
                <w:b/>
                <w:color w:val="FFFFFF"/>
                <w:sz w:val="15"/>
              </w:rPr>
              <w:t>Command</w:t>
            </w:r>
          </w:p>
        </w:tc>
      </w:tr>
      <w:tr>
        <w:tc>
          <w:tcPr>
            <w:tcW w:type="dxa" w:w="5184"/>
            <w:vAlign w:val="top"/>
          </w:tcPr>
          <w:p>
            <w:r/>
            <w:r>
              <w:rPr>
                <w:rFonts w:ascii="Aptos" w:hAnsi="Aptos"/>
                <w:b w:val="0"/>
                <w:sz w:val="15"/>
              </w:rPr>
              <w:t>Basic external dossier migration</w:t>
            </w:r>
          </w:p>
        </w:tc>
        <w:tc>
          <w:tcPr>
            <w:tcW w:type="dxa" w:w="5184"/>
            <w:vAlign w:val="top"/>
          </w:tcPr>
          <w:p>
            <w:r/>
            <w:r>
              <w:rPr>
                <w:rFonts w:ascii="Aptos" w:hAnsi="Aptos"/>
                <w:b w:val="0"/>
                <w:sz w:val="15"/>
              </w:rPr>
              <w:t>.\eMAS-PreSalesAssessment.ps1 `</w:t>
              <w:br/>
              <w:t xml:space="preserve">  -MigrationScenario ExternalDossierMigration `</w:t>
              <w:br/>
              <w:t xml:space="preserve">  -ExportRoot "E:\CustomerExport" `</w:t>
              <w:br/>
              <w:t xml:space="preserve">  -OutDir "E:\PreSalesInventory"</w:t>
            </w:r>
          </w:p>
        </w:tc>
      </w:tr>
      <w:tr>
        <w:tc>
          <w:tcPr>
            <w:tcW w:type="dxa" w:w="5184"/>
            <w:vAlign w:val="top"/>
          </w:tcPr>
          <w:p>
            <w:r/>
            <w:r>
              <w:rPr>
                <w:rFonts w:ascii="Aptos" w:hAnsi="Aptos"/>
                <w:b w:val="0"/>
                <w:sz w:val="15"/>
              </w:rPr>
              <w:t>With archive/index sizing</w:t>
            </w:r>
          </w:p>
        </w:tc>
        <w:tc>
          <w:tcPr>
            <w:tcW w:type="dxa" w:w="5184"/>
            <w:vAlign w:val="top"/>
          </w:tcPr>
          <w:p>
            <w:r/>
            <w:r>
              <w:rPr>
                <w:rFonts w:ascii="Aptos" w:hAnsi="Aptos"/>
                <w:b w:val="0"/>
                <w:sz w:val="15"/>
              </w:rPr>
              <w:t>.\eMAS-PreSalesAssessment.ps1 `</w:t>
              <w:br/>
              <w:t xml:space="preserve">  -MigrationScenario ExternalDossierMigration `</w:t>
              <w:br/>
              <w:t xml:space="preserve">  -ExportRoot "E:\CustomerExport" `</w:t>
              <w:br/>
              <w:t xml:space="preserve">  -ArchiveRoot "E:\Archive","E:\Index" `</w:t>
              <w:br/>
              <w:t xml:space="preserve">  -OutDir "E:\PreSalesInventory"</w:t>
            </w:r>
          </w:p>
        </w:tc>
      </w:tr>
      <w:tr>
        <w:tc>
          <w:tcPr>
            <w:tcW w:type="dxa" w:w="5184"/>
            <w:vAlign w:val="top"/>
          </w:tcPr>
          <w:p>
            <w:r/>
            <w:r>
              <w:rPr>
                <w:rFonts w:ascii="Aptos" w:hAnsi="Aptos"/>
                <w:b w:val="0"/>
                <w:sz w:val="15"/>
              </w:rPr>
              <w:t>Hybrid sizing</w:t>
            </w:r>
          </w:p>
        </w:tc>
        <w:tc>
          <w:tcPr>
            <w:tcW w:type="dxa" w:w="5184"/>
            <w:vAlign w:val="top"/>
          </w:tcPr>
          <w:p>
            <w:r/>
            <w:r>
              <w:rPr>
                <w:rFonts w:ascii="Aptos" w:hAnsi="Aptos"/>
                <w:b w:val="0"/>
                <w:sz w:val="15"/>
              </w:rPr>
              <w:t>.\eMAS-PreSalesAssessment.ps1 `</w:t>
              <w:br/>
              <w:t xml:space="preserve">  -MigrationScenario HybridMigration `</w:t>
              <w:br/>
              <w:t xml:space="preserve">  -ExportRoot "E:\CustomerExport" `</w:t>
              <w:br/>
              <w:t xml:space="preserve">  -ArchiveRoot "E:\Archive","E:\Index" `</w:t>
              <w:br/>
              <w:t xml:space="preserve">  -StorageRoot "E:\Storage" `</w:t>
              <w:br/>
              <w:t xml:space="preserve">  -DatabaseInfo "MS SQL database backup available separately" `</w:t>
              <w:br/>
              <w:t xml:space="preserve">  -OutDir "E:\PreSalesInventory"</w:t>
            </w:r>
          </w:p>
        </w:tc>
      </w:tr>
      <w:tr>
        <w:tc>
          <w:tcPr>
            <w:tcW w:type="dxa" w:w="5184"/>
            <w:vAlign w:val="top"/>
          </w:tcPr>
          <w:p>
            <w:r/>
            <w:r>
              <w:rPr>
                <w:rFonts w:ascii="Aptos" w:hAnsi="Aptos"/>
                <w:b w:val="0"/>
                <w:sz w:val="15"/>
              </w:rPr>
              <w:t>Post-migration verification</w:t>
            </w:r>
          </w:p>
        </w:tc>
        <w:tc>
          <w:tcPr>
            <w:tcW w:type="dxa" w:w="5184"/>
            <w:vAlign w:val="top"/>
          </w:tcPr>
          <w:p>
            <w:r/>
            <w:r>
              <w:rPr>
                <w:rFonts w:ascii="Aptos" w:hAnsi="Aptos"/>
                <w:b w:val="0"/>
                <w:sz w:val="15"/>
              </w:rPr>
              <w:t>.\eMAS-PostMigrationVerification.ps1 `</w:t>
              <w:br/>
              <w:t xml:space="preserve">  -PreMigrationReportPath "E:\Migration\eMAS_MigrationReadiness_1386873065.xlsx" `</w:t>
              <w:br/>
              <w:t xml:space="preserve">  -MigrationSummaryPath "E:\Migration\MigrationSummary.xlsx" `</w:t>
              <w:br/>
              <w:t xml:space="preserve">  -OutDir "E:\Migration\PostMigrationVerification"</w:t>
            </w:r>
          </w:p>
        </w:tc>
      </w:tr>
      <w:tr>
        <w:tc>
          <w:tcPr>
            <w:tcW w:type="dxa" w:w="5184"/>
            <w:vAlign w:val="top"/>
          </w:tcPr>
          <w:p>
            <w:r/>
            <w:r>
              <w:rPr>
                <w:rFonts w:ascii="Aptos" w:hAnsi="Aptos"/>
                <w:b w:val="0"/>
                <w:sz w:val="15"/>
              </w:rPr>
              <w:t>Post-migration with accepted exceptions</w:t>
            </w:r>
          </w:p>
        </w:tc>
        <w:tc>
          <w:tcPr>
            <w:tcW w:type="dxa" w:w="5184"/>
            <w:vAlign w:val="top"/>
          </w:tcPr>
          <w:p>
            <w:r/>
            <w:r>
              <w:rPr>
                <w:rFonts w:ascii="Aptos" w:hAnsi="Aptos"/>
                <w:b w:val="0"/>
                <w:sz w:val="15"/>
              </w:rPr>
              <w:t>.\eMAS-PostMigrationVerification.ps1 `</w:t>
              <w:br/>
              <w:t xml:space="preserve">  -PreMigrationReportPath "E:\Migration\eMAS_MigrationReadiness_1386873065.xlsx" `</w:t>
              <w:br/>
              <w:t xml:space="preserve">  -MigrationSummaryPath "E:\Migration\MigrationSummary.xlsx" `</w:t>
              <w:br/>
              <w:t xml:space="preserve">  -AcceptedExceptionsCsv "E:\Migration\AcceptedExceptions.csv" `</w:t>
              <w:br/>
              <w:t xml:space="preserve">  -OutDir "E:\Migration\PostMigrationVerification"</w:t>
            </w:r>
          </w:p>
        </w:tc>
      </w:tr>
    </w:tbl>
    <w:p/>
    <w:p>
      <w:pPr>
        <w:pStyle w:val="Heading1"/>
      </w:pPr>
      <w:r>
        <w:t>5. How to Interpret RAG Status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rFonts w:ascii="Aptos" w:hAnsi="Aptos"/>
                <w:b/>
                <w:color w:val="FFFFFF"/>
                <w:sz w:val="17"/>
              </w:rPr>
              <w:t>Status</w:t>
            </w:r>
          </w:p>
        </w:tc>
        <w:tc>
          <w:tcPr>
            <w:tcW w:type="dxa" w:w="3456"/>
            <w:vAlign w:val="top"/>
            <w:shd w:fill="1F4E79"/>
          </w:tcPr>
          <w:p>
            <w:r/>
            <w:r>
              <w:rPr>
                <w:rFonts w:ascii="Aptos" w:hAnsi="Aptos"/>
                <w:b/>
                <w:color w:val="FFFFFF"/>
                <w:sz w:val="17"/>
              </w:rPr>
              <w:t>Meaning</w:t>
            </w:r>
          </w:p>
        </w:tc>
        <w:tc>
          <w:tcPr>
            <w:tcW w:type="dxa" w:w="3456"/>
            <w:vAlign w:val="top"/>
            <w:shd w:fill="1F4E79"/>
          </w:tcPr>
          <w:p>
            <w:r/>
            <w:r>
              <w:rPr>
                <w:rFonts w:ascii="Aptos" w:hAnsi="Aptos"/>
                <w:b/>
                <w:color w:val="FFFFFF"/>
                <w:sz w:val="17"/>
              </w:rPr>
              <w:t>Consultant Action</w:t>
            </w:r>
          </w:p>
        </w:tc>
      </w:tr>
      <w:tr>
        <w:tc>
          <w:tcPr>
            <w:tcW w:type="dxa" w:w="3456"/>
            <w:vAlign w:val="top"/>
          </w:tcPr>
          <w:p>
            <w:r/>
            <w:r>
              <w:rPr>
                <w:rFonts w:ascii="Aptos" w:hAnsi="Aptos"/>
                <w:b w:val="0"/>
                <w:sz w:val="17"/>
              </w:rPr>
              <w:t>Green</w:t>
            </w:r>
          </w:p>
        </w:tc>
        <w:tc>
          <w:tcPr>
            <w:tcW w:type="dxa" w:w="3456"/>
            <w:vAlign w:val="top"/>
          </w:tcPr>
          <w:p>
            <w:r/>
            <w:r>
              <w:rPr>
                <w:rFonts w:ascii="Aptos" w:hAnsi="Aptos"/>
                <w:b w:val="0"/>
                <w:sz w:val="17"/>
              </w:rPr>
              <w:t>Recognized structure and mandatory expected items present based on mapping rules.</w:t>
            </w:r>
          </w:p>
        </w:tc>
        <w:tc>
          <w:tcPr>
            <w:tcW w:type="dxa" w:w="3456"/>
            <w:vAlign w:val="top"/>
          </w:tcPr>
          <w:p>
            <w:r/>
            <w:r>
              <w:rPr>
                <w:rFonts w:ascii="Aptos" w:hAnsi="Aptos"/>
                <w:b w:val="0"/>
                <w:sz w:val="17"/>
              </w:rPr>
              <w:t>Use as lower-risk input, still subject to customer confirmation.</w:t>
            </w:r>
          </w:p>
        </w:tc>
      </w:tr>
      <w:tr>
        <w:tc>
          <w:tcPr>
            <w:tcW w:type="dxa" w:w="3456"/>
            <w:vAlign w:val="top"/>
          </w:tcPr>
          <w:p>
            <w:r/>
            <w:r>
              <w:rPr>
                <w:rFonts w:ascii="Aptos" w:hAnsi="Aptos"/>
                <w:b w:val="0"/>
                <w:sz w:val="17"/>
              </w:rPr>
              <w:t>Amber</w:t>
            </w:r>
          </w:p>
        </w:tc>
        <w:tc>
          <w:tcPr>
            <w:tcW w:type="dxa" w:w="3456"/>
            <w:vAlign w:val="top"/>
          </w:tcPr>
          <w:p>
            <w:r/>
            <w:r>
              <w:rPr>
                <w:rFonts w:ascii="Aptos" w:hAnsi="Aptos"/>
                <w:b w:val="0"/>
                <w:sz w:val="17"/>
              </w:rPr>
              <w:t>Recognized but incomplete or review-worthy.</w:t>
            </w:r>
          </w:p>
        </w:tc>
        <w:tc>
          <w:tcPr>
            <w:tcW w:type="dxa" w:w="3456"/>
            <w:vAlign w:val="top"/>
          </w:tcPr>
          <w:p>
            <w:r/>
            <w:r>
              <w:rPr>
                <w:rFonts w:ascii="Aptos" w:hAnsi="Aptos"/>
                <w:b w:val="0"/>
                <w:sz w:val="17"/>
              </w:rPr>
              <w:t>Review findings, clarify with customer, assess effect on effort/readiness.</w:t>
            </w:r>
          </w:p>
        </w:tc>
      </w:tr>
      <w:tr>
        <w:tc>
          <w:tcPr>
            <w:tcW w:type="dxa" w:w="3456"/>
            <w:vAlign w:val="top"/>
          </w:tcPr>
          <w:p>
            <w:r/>
            <w:r>
              <w:rPr>
                <w:rFonts w:ascii="Aptos" w:hAnsi="Aptos"/>
                <w:b w:val="0"/>
                <w:sz w:val="17"/>
              </w:rPr>
              <w:t>Red</w:t>
            </w:r>
          </w:p>
        </w:tc>
        <w:tc>
          <w:tcPr>
            <w:tcW w:type="dxa" w:w="3456"/>
            <w:vAlign w:val="top"/>
          </w:tcPr>
          <w:p>
            <w:r/>
            <w:r>
              <w:rPr>
                <w:rFonts w:ascii="Aptos" w:hAnsi="Aptos"/>
                <w:b w:val="0"/>
                <w:sz w:val="17"/>
              </w:rPr>
              <w:t>Invalid or materially incomplete.</w:t>
            </w:r>
          </w:p>
        </w:tc>
        <w:tc>
          <w:tcPr>
            <w:tcW w:type="dxa" w:w="3456"/>
            <w:vAlign w:val="top"/>
          </w:tcPr>
          <w:p>
            <w:r/>
            <w:r>
              <w:rPr>
                <w:rFonts w:ascii="Aptos" w:hAnsi="Aptos"/>
                <w:b w:val="0"/>
                <w:sz w:val="17"/>
              </w:rPr>
              <w:t>Treat as major issue or blocker depending phase.</w:t>
            </w:r>
          </w:p>
        </w:tc>
      </w:tr>
      <w:tr>
        <w:tc>
          <w:tcPr>
            <w:tcW w:type="dxa" w:w="3456"/>
            <w:vAlign w:val="top"/>
          </w:tcPr>
          <w:p>
            <w:r/>
            <w:r>
              <w:rPr>
                <w:rFonts w:ascii="Aptos" w:hAnsi="Aptos"/>
                <w:b w:val="0"/>
                <w:sz w:val="17"/>
              </w:rPr>
              <w:t>Unknown</w:t>
            </w:r>
          </w:p>
        </w:tc>
        <w:tc>
          <w:tcPr>
            <w:tcW w:type="dxa" w:w="3456"/>
            <w:vAlign w:val="top"/>
          </w:tcPr>
          <w:p>
            <w:r/>
            <w:r>
              <w:rPr>
                <w:rFonts w:ascii="Aptos" w:hAnsi="Aptos"/>
                <w:b w:val="0"/>
                <w:sz w:val="17"/>
              </w:rPr>
              <w:t>Insufficient evidence to classify.</w:t>
            </w:r>
          </w:p>
        </w:tc>
        <w:tc>
          <w:tcPr>
            <w:tcW w:type="dxa" w:w="3456"/>
            <w:vAlign w:val="top"/>
          </w:tcPr>
          <w:p>
            <w:r/>
            <w:r>
              <w:rPr>
                <w:rFonts w:ascii="Aptos" w:hAnsi="Aptos"/>
                <w:b w:val="0"/>
                <w:sz w:val="17"/>
              </w:rPr>
              <w:t>Ask customer for details and review mapping coverage.</w:t>
            </w:r>
          </w:p>
        </w:tc>
      </w:tr>
      <w:tr>
        <w:tc>
          <w:tcPr>
            <w:tcW w:type="dxa" w:w="3456"/>
            <w:vAlign w:val="top"/>
          </w:tcPr>
          <w:p>
            <w:r/>
            <w:r>
              <w:rPr>
                <w:rFonts w:ascii="Aptos" w:hAnsi="Aptos"/>
                <w:b w:val="0"/>
                <w:sz w:val="17"/>
              </w:rPr>
              <w:t>Not Assessed</w:t>
            </w:r>
          </w:p>
        </w:tc>
        <w:tc>
          <w:tcPr>
            <w:tcW w:type="dxa" w:w="3456"/>
            <w:vAlign w:val="top"/>
          </w:tcPr>
          <w:p>
            <w:r/>
            <w:r>
              <w:rPr>
                <w:rFonts w:ascii="Aptos" w:hAnsi="Aptos"/>
                <w:b w:val="0"/>
                <w:sz w:val="17"/>
              </w:rPr>
              <w:t>Input unavailable or not applicable.</w:t>
            </w:r>
          </w:p>
        </w:tc>
        <w:tc>
          <w:tcPr>
            <w:tcW w:type="dxa" w:w="3456"/>
            <w:vAlign w:val="top"/>
          </w:tcPr>
          <w:p>
            <w:r/>
            <w:r>
              <w:rPr>
                <w:rFonts w:ascii="Aptos" w:hAnsi="Aptos"/>
                <w:b w:val="0"/>
                <w:sz w:val="17"/>
              </w:rPr>
              <w:t>Do not treat as passed; document limitation.</w:t>
            </w:r>
          </w:p>
        </w:tc>
      </w:tr>
    </w:tbl>
    <w:p/>
    <w:p>
      <w:pPr>
        <w:pStyle w:val="Heading1"/>
      </w:pPr>
      <w:r>
        <w:t>6. How to Interpret Final Results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rFonts w:ascii="Aptos" w:hAnsi="Aptos"/>
                <w:b/>
                <w:color w:val="FFFFFF"/>
                <w:sz w:val="17"/>
              </w:rPr>
              <w:t>Report</w:t>
            </w:r>
          </w:p>
        </w:tc>
        <w:tc>
          <w:tcPr>
            <w:tcW w:type="dxa" w:w="3456"/>
            <w:vAlign w:val="top"/>
            <w:shd w:fill="1F4E79"/>
          </w:tcPr>
          <w:p>
            <w:r/>
            <w:r>
              <w:rPr>
                <w:rFonts w:ascii="Aptos" w:hAnsi="Aptos"/>
                <w:b/>
                <w:color w:val="FFFFFF"/>
                <w:sz w:val="17"/>
              </w:rPr>
              <w:t>Possible Results</w:t>
            </w:r>
          </w:p>
        </w:tc>
        <w:tc>
          <w:tcPr>
            <w:tcW w:type="dxa" w:w="3456"/>
            <w:vAlign w:val="top"/>
            <w:shd w:fill="1F4E79"/>
          </w:tcPr>
          <w:p>
            <w:r/>
            <w:r>
              <w:rPr>
                <w:rFonts w:ascii="Aptos" w:hAnsi="Aptos"/>
                <w:b/>
                <w:color w:val="FFFFFF"/>
                <w:sz w:val="17"/>
              </w:rPr>
              <w:t>Meaning</w:t>
            </w:r>
          </w:p>
        </w:tc>
      </w:tr>
      <w:tr>
        <w:tc>
          <w:tcPr>
            <w:tcW w:type="dxa" w:w="3456"/>
            <w:vAlign w:val="top"/>
          </w:tcPr>
          <w:p>
            <w:r/>
            <w:r>
              <w:rPr>
                <w:rFonts w:ascii="Aptos" w:hAnsi="Aptos"/>
                <w:b w:val="0"/>
                <w:sz w:val="17"/>
              </w:rPr>
              <w:t>Pre-Sales</w:t>
            </w:r>
          </w:p>
        </w:tc>
        <w:tc>
          <w:tcPr>
            <w:tcW w:type="dxa" w:w="3456"/>
            <w:vAlign w:val="top"/>
          </w:tcPr>
          <w:p>
            <w:r/>
            <w:r>
              <w:rPr>
                <w:rFonts w:ascii="Aptos" w:hAnsi="Aptos"/>
                <w:b w:val="0"/>
                <w:sz w:val="17"/>
              </w:rPr>
              <w:t>Very Low, Low, Medium, High, Very High complexity; High, Medium, Low, Unknown confidence.</w:t>
            </w:r>
          </w:p>
        </w:tc>
        <w:tc>
          <w:tcPr>
            <w:tcW w:type="dxa" w:w="3456"/>
            <w:vAlign w:val="top"/>
          </w:tcPr>
          <w:p>
            <w:r/>
            <w:r>
              <w:rPr>
                <w:rFonts w:ascii="Aptos" w:hAnsi="Aptos"/>
                <w:b w:val="0"/>
                <w:sz w:val="17"/>
              </w:rPr>
              <w:t>Estimation support only; not readiness or validation.</w:t>
            </w:r>
          </w:p>
        </w:tc>
      </w:tr>
      <w:tr>
        <w:tc>
          <w:tcPr>
            <w:tcW w:type="dxa" w:w="3456"/>
            <w:vAlign w:val="top"/>
          </w:tcPr>
          <w:p>
            <w:r/>
            <w:r>
              <w:rPr>
                <w:rFonts w:ascii="Aptos" w:hAnsi="Aptos"/>
                <w:b w:val="0"/>
                <w:sz w:val="17"/>
              </w:rPr>
              <w:t>Readiness</w:t>
            </w:r>
          </w:p>
        </w:tc>
        <w:tc>
          <w:tcPr>
            <w:tcW w:type="dxa" w:w="3456"/>
            <w:vAlign w:val="top"/>
          </w:tcPr>
          <w:p>
            <w:r/>
            <w:r>
              <w:rPr>
                <w:rFonts w:ascii="Aptos" w:hAnsi="Aptos"/>
                <w:b w:val="0"/>
                <w:sz w:val="17"/>
              </w:rPr>
              <w:t>Ready, Ready with Accepted Exceptions, Blocked.</w:t>
            </w:r>
          </w:p>
        </w:tc>
        <w:tc>
          <w:tcPr>
            <w:tcW w:type="dxa" w:w="3456"/>
            <w:vAlign w:val="top"/>
          </w:tcPr>
          <w:p>
            <w:r/>
            <w:r>
              <w:rPr>
                <w:rFonts w:ascii="Aptos" w:hAnsi="Aptos"/>
                <w:b w:val="0"/>
                <w:sz w:val="17"/>
              </w:rPr>
              <w:t>Migration preparation status based on provided source inputs and checks.</w:t>
            </w:r>
          </w:p>
        </w:tc>
      </w:tr>
      <w:tr>
        <w:tc>
          <w:tcPr>
            <w:tcW w:type="dxa" w:w="3456"/>
            <w:vAlign w:val="top"/>
          </w:tcPr>
          <w:p>
            <w:r/>
            <w:r>
              <w:rPr>
                <w:rFonts w:ascii="Aptos" w:hAnsi="Aptos"/>
                <w:b w:val="0"/>
                <w:sz w:val="17"/>
              </w:rPr>
              <w:t>Post-Migration</w:t>
            </w:r>
          </w:p>
        </w:tc>
        <w:tc>
          <w:tcPr>
            <w:tcW w:type="dxa" w:w="3456"/>
            <w:vAlign w:val="top"/>
          </w:tcPr>
          <w:p>
            <w:r/>
            <w:r>
              <w:rPr>
                <w:rFonts w:ascii="Aptos" w:hAnsi="Aptos"/>
                <w:b w:val="0"/>
                <w:sz w:val="17"/>
              </w:rPr>
              <w:t>Reconciled, Reconciled with Accepted Exceptions, Review Required, Not Reconciled.</w:t>
            </w:r>
          </w:p>
        </w:tc>
        <w:tc>
          <w:tcPr>
            <w:tcW w:type="dxa" w:w="3456"/>
            <w:vAlign w:val="top"/>
          </w:tcPr>
          <w:p>
            <w:r/>
            <w:r>
              <w:rPr>
                <w:rFonts w:ascii="Aptos" w:hAnsi="Aptos"/>
                <w:b w:val="0"/>
                <w:sz w:val="17"/>
              </w:rPr>
              <w:t>Reconciliation status based on baseline, import report, and post-import verification.</w:t>
            </w:r>
          </w:p>
        </w:tc>
      </w:tr>
    </w:tbl>
    <w:p/>
    <w:p>
      <w:pPr>
        <w:pStyle w:val="Heading1"/>
      </w:pPr>
      <w:r>
        <w:t>7. Mapping Workbook Administration</w:t>
      </w:r>
    </w:p>
    <w:p>
      <w:pPr>
        <w:pStyle w:val="ListBullet"/>
      </w:pPr>
      <w:r>
        <w:t>Update mapping workbook rules instead of changing PowerShell when business or regulatory interpretation changes.</w:t>
      </w:r>
    </w:p>
    <w:p>
      <w:pPr>
        <w:pStyle w:val="ListBullet"/>
      </w:pPr>
      <w:r>
        <w:t>Maintain Workbook_Control with version, owner, date, and change summary.</w:t>
      </w:r>
    </w:p>
    <w:p>
      <w:pPr>
        <w:pStyle w:val="ListBullet"/>
      </w:pPr>
      <w:r>
        <w:t>Retire rules by setting IsActive to false instead of deleting them when traceability is needed.</w:t>
      </w:r>
    </w:p>
    <w:p>
      <w:pPr>
        <w:pStyle w:val="ListBullet"/>
      </w:pPr>
      <w:r>
        <w:t>Run mapping validation before using an updated mapping workbook in customer work.</w:t>
      </w:r>
    </w:p>
    <w:p>
      <w:pPr>
        <w:pStyle w:val="ListBullet"/>
      </w:pPr>
      <w:r>
        <w:t>Peer-review changes to RAG, region/format/type, effort weights, and recommendation text.</w:t>
      </w:r>
    </w:p>
    <w:p>
      <w:pPr>
        <w:pStyle w:val="Heading1"/>
      </w:pPr>
      <w:r>
        <w:t>8. Troubleshooting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rFonts w:ascii="Aptos" w:hAnsi="Aptos"/>
                <w:b/>
                <w:color w:val="FFFFFF"/>
                <w:sz w:val="17"/>
              </w:rPr>
              <w:t>Issue</w:t>
            </w:r>
          </w:p>
        </w:tc>
        <w:tc>
          <w:tcPr>
            <w:tcW w:type="dxa" w:w="3456"/>
            <w:vAlign w:val="top"/>
            <w:shd w:fill="1F4E79"/>
          </w:tcPr>
          <w:p>
            <w:r/>
            <w:r>
              <w:rPr>
                <w:rFonts w:ascii="Aptos" w:hAnsi="Aptos"/>
                <w:b/>
                <w:color w:val="FFFFFF"/>
                <w:sz w:val="17"/>
              </w:rPr>
              <w:t>Likely Cause</w:t>
            </w:r>
          </w:p>
        </w:tc>
        <w:tc>
          <w:tcPr>
            <w:tcW w:type="dxa" w:w="3456"/>
            <w:vAlign w:val="top"/>
            <w:shd w:fill="1F4E79"/>
          </w:tcPr>
          <w:p>
            <w:r/>
            <w:r>
              <w:rPr>
                <w:rFonts w:ascii="Aptos" w:hAnsi="Aptos"/>
                <w:b/>
                <w:color w:val="FFFFFF"/>
                <w:sz w:val="17"/>
              </w:rPr>
              <w:t>Recommended Action</w:t>
            </w:r>
          </w:p>
        </w:tc>
      </w:tr>
      <w:tr>
        <w:tc>
          <w:tcPr>
            <w:tcW w:type="dxa" w:w="3456"/>
            <w:vAlign w:val="top"/>
          </w:tcPr>
          <w:p>
            <w:r/>
            <w:r>
              <w:rPr>
                <w:rFonts w:ascii="Aptos" w:hAnsi="Aptos"/>
                <w:b w:val="0"/>
                <w:sz w:val="17"/>
              </w:rPr>
              <w:t>Script cannot access path</w:t>
            </w:r>
          </w:p>
        </w:tc>
        <w:tc>
          <w:tcPr>
            <w:tcW w:type="dxa" w:w="3456"/>
            <w:vAlign w:val="top"/>
          </w:tcPr>
          <w:p>
            <w:r/>
            <w:r>
              <w:rPr>
                <w:rFonts w:ascii="Aptos" w:hAnsi="Aptos"/>
                <w:b w:val="0"/>
                <w:sz w:val="17"/>
              </w:rPr>
              <w:t>Permission, disconnected network drive, or wrong path.</w:t>
            </w:r>
          </w:p>
        </w:tc>
        <w:tc>
          <w:tcPr>
            <w:tcW w:type="dxa" w:w="3456"/>
            <w:vAlign w:val="top"/>
          </w:tcPr>
          <w:p>
            <w:r/>
            <w:r>
              <w:rPr>
                <w:rFonts w:ascii="Aptos" w:hAnsi="Aptos"/>
                <w:b w:val="0"/>
                <w:sz w:val="17"/>
              </w:rPr>
              <w:t>Verify path from same user context; rerun when accessible.</w:t>
            </w:r>
          </w:p>
        </w:tc>
      </w:tr>
      <w:tr>
        <w:tc>
          <w:tcPr>
            <w:tcW w:type="dxa" w:w="3456"/>
            <w:vAlign w:val="top"/>
          </w:tcPr>
          <w:p>
            <w:r/>
            <w:r>
              <w:rPr>
                <w:rFonts w:ascii="Aptos" w:hAnsi="Aptos"/>
                <w:b w:val="0"/>
                <w:sz w:val="17"/>
              </w:rPr>
              <w:t>Workbook missing expected sheet</w:t>
            </w:r>
          </w:p>
        </w:tc>
        <w:tc>
          <w:tcPr>
            <w:tcW w:type="dxa" w:w="3456"/>
            <w:vAlign w:val="top"/>
          </w:tcPr>
          <w:p>
            <w:r/>
            <w:r>
              <w:rPr>
                <w:rFonts w:ascii="Aptos" w:hAnsi="Aptos"/>
                <w:b w:val="0"/>
                <w:sz w:val="17"/>
              </w:rPr>
              <w:t>Wrong input workbook or sheet renamed.</w:t>
            </w:r>
          </w:p>
        </w:tc>
        <w:tc>
          <w:tcPr>
            <w:tcW w:type="dxa" w:w="3456"/>
            <w:vAlign w:val="top"/>
          </w:tcPr>
          <w:p>
            <w:r/>
            <w:r>
              <w:rPr>
                <w:rFonts w:ascii="Aptos" w:hAnsi="Aptos"/>
                <w:b w:val="0"/>
                <w:sz w:val="17"/>
              </w:rPr>
              <w:t>Use expected sheet names or configured sheet name parameters.</w:t>
            </w:r>
          </w:p>
        </w:tc>
      </w:tr>
      <w:tr>
        <w:tc>
          <w:tcPr>
            <w:tcW w:type="dxa" w:w="3456"/>
            <w:vAlign w:val="top"/>
          </w:tcPr>
          <w:p>
            <w:r/>
            <w:r>
              <w:rPr>
                <w:rFonts w:ascii="Aptos" w:hAnsi="Aptos"/>
                <w:b w:val="0"/>
                <w:sz w:val="17"/>
              </w:rPr>
              <w:t>Many Unknown classifications</w:t>
            </w:r>
          </w:p>
        </w:tc>
        <w:tc>
          <w:tcPr>
            <w:tcW w:type="dxa" w:w="3456"/>
            <w:vAlign w:val="top"/>
          </w:tcPr>
          <w:p>
            <w:r/>
            <w:r>
              <w:rPr>
                <w:rFonts w:ascii="Aptos" w:hAnsi="Aptos"/>
                <w:b w:val="0"/>
                <w:sz w:val="17"/>
              </w:rPr>
              <w:t>Mapping rules do not cover export pattern or source lacks indicators.</w:t>
            </w:r>
          </w:p>
        </w:tc>
        <w:tc>
          <w:tcPr>
            <w:tcW w:type="dxa" w:w="3456"/>
            <w:vAlign w:val="top"/>
          </w:tcPr>
          <w:p>
            <w:r/>
            <w:r>
              <w:rPr>
                <w:rFonts w:ascii="Aptos" w:hAnsi="Aptos"/>
                <w:b w:val="0"/>
                <w:sz w:val="17"/>
              </w:rPr>
              <w:t>Review sample folders and update mapping workbook if appropriate.</w:t>
            </w:r>
          </w:p>
        </w:tc>
      </w:tr>
      <w:tr>
        <w:tc>
          <w:tcPr>
            <w:tcW w:type="dxa" w:w="3456"/>
            <w:vAlign w:val="top"/>
          </w:tcPr>
          <w:p>
            <w:r/>
            <w:r>
              <w:rPr>
                <w:rFonts w:ascii="Aptos" w:hAnsi="Aptos"/>
                <w:b w:val="0"/>
                <w:sz w:val="17"/>
              </w:rPr>
              <w:t>Low estimate confidence</w:t>
            </w:r>
          </w:p>
        </w:tc>
        <w:tc>
          <w:tcPr>
            <w:tcW w:type="dxa" w:w="3456"/>
            <w:vAlign w:val="top"/>
          </w:tcPr>
          <w:p>
            <w:r/>
            <w:r>
              <w:rPr>
                <w:rFonts w:ascii="Aptos" w:hAnsi="Aptos"/>
                <w:b w:val="0"/>
                <w:sz w:val="17"/>
              </w:rPr>
              <w:t>Missing customer inputs or weak detection evidence.</w:t>
            </w:r>
          </w:p>
        </w:tc>
        <w:tc>
          <w:tcPr>
            <w:tcW w:type="dxa" w:w="3456"/>
            <w:vAlign w:val="top"/>
          </w:tcPr>
          <w:p>
            <w:r/>
            <w:r>
              <w:rPr>
                <w:rFonts w:ascii="Aptos" w:hAnsi="Aptos"/>
                <w:b w:val="0"/>
                <w:sz w:val="17"/>
              </w:rPr>
              <w:t>Use Customer Clarifications sheet.</w:t>
            </w:r>
          </w:p>
        </w:tc>
      </w:tr>
      <w:tr>
        <w:tc>
          <w:tcPr>
            <w:tcW w:type="dxa" w:w="3456"/>
            <w:vAlign w:val="top"/>
          </w:tcPr>
          <w:p>
            <w:r/>
            <w:r>
              <w:rPr>
                <w:rFonts w:ascii="Aptos" w:hAnsi="Aptos"/>
                <w:b w:val="0"/>
                <w:sz w:val="17"/>
              </w:rPr>
              <w:t>Post-migration Not Reconciled</w:t>
            </w:r>
          </w:p>
        </w:tc>
        <w:tc>
          <w:tcPr>
            <w:tcW w:type="dxa" w:w="3456"/>
            <w:vAlign w:val="top"/>
          </w:tcPr>
          <w:p>
            <w:r/>
            <w:r>
              <w:rPr>
                <w:rFonts w:ascii="Aptos" w:hAnsi="Aptos"/>
                <w:b w:val="0"/>
                <w:sz w:val="17"/>
              </w:rPr>
              <w:t>Missing expected items, import errors, count mismatch, or unaccepted differences.</w:t>
            </w:r>
          </w:p>
        </w:tc>
        <w:tc>
          <w:tcPr>
            <w:tcW w:type="dxa" w:w="3456"/>
            <w:vAlign w:val="top"/>
          </w:tcPr>
          <w:p>
            <w:r/>
            <w:r>
              <w:rPr>
                <w:rFonts w:ascii="Aptos" w:hAnsi="Aptos"/>
                <w:b w:val="0"/>
                <w:sz w:val="17"/>
              </w:rPr>
              <w:t>Review Discrepancies and Accepted Exceptions sheets.</w:t>
            </w:r>
          </w:p>
        </w:tc>
      </w:tr>
      <w:tr>
        <w:tc>
          <w:tcPr>
            <w:tcW w:type="dxa" w:w="3456"/>
            <w:vAlign w:val="top"/>
          </w:tcPr>
          <w:p>
            <w:r/>
            <w:r>
              <w:rPr>
                <w:rFonts w:ascii="Aptos" w:hAnsi="Aptos"/>
                <w:b w:val="0"/>
                <w:sz w:val="17"/>
              </w:rPr>
              <w:t>Workbook opens with warning</w:t>
            </w:r>
          </w:p>
        </w:tc>
        <w:tc>
          <w:tcPr>
            <w:tcW w:type="dxa" w:w="3456"/>
            <w:vAlign w:val="top"/>
          </w:tcPr>
          <w:p>
            <w:r/>
            <w:r>
              <w:rPr>
                <w:rFonts w:ascii="Aptos" w:hAnsi="Aptos"/>
                <w:b w:val="0"/>
                <w:sz w:val="17"/>
              </w:rPr>
              <w:t>OpenXML generation issue or invalid characters.</w:t>
            </w:r>
          </w:p>
        </w:tc>
        <w:tc>
          <w:tcPr>
            <w:tcW w:type="dxa" w:w="3456"/>
            <w:vAlign w:val="top"/>
          </w:tcPr>
          <w:p>
            <w:r/>
            <w:r>
              <w:rPr>
                <w:rFonts w:ascii="Aptos" w:hAnsi="Aptos"/>
                <w:b w:val="0"/>
                <w:sz w:val="17"/>
              </w:rPr>
              <w:t>Developer review required; keep log and sample output.</w:t>
            </w:r>
          </w:p>
        </w:tc>
      </w:tr>
    </w:tbl>
    <w:p/>
    <w:p>
      <w:pPr>
        <w:pStyle w:val="Heading1"/>
      </w:pPr>
      <w:r>
        <w:t>9. Limitations to Communicate</w:t>
      </w:r>
    </w:p>
    <w:p>
      <w:pPr>
        <w:pStyle w:val="ListBullet"/>
      </w:pPr>
      <w:r>
        <w:t>eMAS is read-only.</w:t>
      </w:r>
    </w:p>
    <w:p>
      <w:pPr>
        <w:pStyle w:val="ListBullet"/>
      </w:pPr>
      <w:r>
        <w:t>eMAS does not perform migration.</w:t>
      </w:r>
    </w:p>
    <w:p>
      <w:pPr>
        <w:pStyle w:val="ListBullet"/>
      </w:pPr>
      <w:r>
        <w:t>eMAS does not perform regulatory validation.</w:t>
      </w:r>
    </w:p>
    <w:p>
      <w:pPr>
        <w:pStyle w:val="ListBullet"/>
      </w:pPr>
      <w:r>
        <w:t>eMAS does not replace customer validation.</w:t>
      </w:r>
    </w:p>
    <w:p>
      <w:pPr>
        <w:pStyle w:val="ListBullet"/>
      </w:pPr>
      <w:r>
        <w:t>Pre-sales output does not prove source export completeness or import success.</w:t>
      </w:r>
    </w:p>
    <w:p>
      <w:pPr>
        <w:pStyle w:val="ListBullet"/>
      </w:pPr>
      <w:r>
        <w:t>Post-migration output summarizes reconciliation from provided reports and does not prove formal business acceptance.</w:t>
      </w:r>
    </w:p>
    <w:p>
      <w:pPr>
        <w:pStyle w:val="ListBullet"/>
      </w:pPr>
      <w:r>
        <w:t>Items not present in input reports must remain Not Assessed.</w:t>
      </w:r>
    </w:p>
    <w:p>
      <w:pPr>
        <w:pStyle w:val="Heading1"/>
      </w:pPr>
      <w:r>
        <w:t>10. Handover Checklist</w:t>
      </w:r>
    </w:p>
    <w:p>
      <w:pPr>
        <w:pStyle w:val="ListBullet"/>
      </w:pPr>
      <w:r>
        <w:t>Generated workbook attached.</w:t>
      </w:r>
    </w:p>
    <w:p>
      <w:pPr>
        <w:pStyle w:val="ListBullet"/>
      </w:pPr>
      <w:r>
        <w:t>Generated log attached.</w:t>
      </w:r>
    </w:p>
    <w:p>
      <w:pPr>
        <w:pStyle w:val="ListBullet"/>
      </w:pPr>
      <w:r>
        <w:t>Mapping workbook version recorded.</w:t>
      </w:r>
    </w:p>
    <w:p>
      <w:pPr>
        <w:pStyle w:val="ListBullet"/>
      </w:pPr>
      <w:r>
        <w:t>Source paths or input workbooks listed.</w:t>
      </w:r>
    </w:p>
    <w:p>
      <w:pPr>
        <w:pStyle w:val="ListBullet"/>
      </w:pPr>
      <w:r>
        <w:t>Final result explained.</w:t>
      </w:r>
    </w:p>
    <w:p>
      <w:pPr>
        <w:pStyle w:val="ListBullet"/>
      </w:pPr>
      <w:r>
        <w:t>Primary issues and recommended actions summarized.</w:t>
      </w:r>
    </w:p>
    <w:p>
      <w:pPr>
        <w:pStyle w:val="ListBullet"/>
      </w:pPr>
      <w:r>
        <w:t>Customer clarifications or decisions listed.</w:t>
      </w:r>
    </w:p>
    <w:p>
      <w:pPr>
        <w:pStyle w:val="ListBullet"/>
      </w:pPr>
      <w:r>
        <w:t>Accepted exceptions documented where applicable.</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EXTEDO | a cormeo brand | Confluence ID 1386873065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eMAS - eCTD Migration Assessment Script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