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LIMITATIFS 2026 – RÉPONSES</w:t>
      </w:r>
    </w:p>
    <w:p>
      <w:pPr>
        <w:spacing w:after="40"/>
        <w:jc w:val="center"/>
      </w:pPr>
      <w:r>
        <w:rPr>
          <w:color w:val="595959"/>
          <w:sz w:val="22"/>
          <w:szCs w:val="22"/>
        </w:rPr>
        <w:t xml:space="preserve">Management en santé &amp; Législation sanitaire — MH6</w:t>
      </w:r>
    </w:p>
    <w:p>
      <w:pPr>
        <w:spacing w:after="300"/>
        <w:jc w:val="center"/>
      </w:pPr>
      <w:r>
        <w:rPr>
          <w:i/>
          <w:iCs/>
          <w:color w:val="595959"/>
          <w:sz w:val="20"/>
          <w:szCs w:val="20"/>
        </w:rPr>
        <w:t xml:space="preserve">Dr Yasmine Lethicia Lydia</w:t>
      </w:r>
    </w:p>
    <w:p>
      <w:pPr>
        <w:pStyle w:val="Heading1"/>
        <w:pBdr>
          <w:bottom w:val="single" w:color="1F3864" w:sz="6" w:space="4"/>
        </w:pBdr>
        <w:spacing w:after="200" w:before="400"/>
      </w:pPr>
      <w:r>
        <w:rPr>
          <w:b/>
          <w:bCs/>
          <w:color w:val="1F3864"/>
          <w:sz w:val="32"/>
          <w:szCs w:val="32"/>
        </w:rPr>
        <w:t xml:space="preserve">Module 1 — Introduction au management en santé</w:t>
      </w:r>
    </w:p>
    <w:p>
      <w:pPr>
        <w:pStyle w:val="Heading2"/>
        <w:spacing w:after="120" w:before="280"/>
      </w:pPr>
      <w:r>
        <w:rPr>
          <w:b/>
          <w:bCs/>
          <w:color w:val="2E74B5"/>
          <w:sz w:val="24"/>
          <w:szCs w:val="24"/>
        </w:rPr>
        <w:t xml:space="preserve">1. </w:t>
      </w:r>
      <w:r>
        <w:rPr>
          <w:b/>
          <w:bCs/>
          <w:color w:val="222222"/>
          <w:sz w:val="24"/>
          <w:szCs w:val="24"/>
        </w:rPr>
        <w:t xml:space="preserve">Management en santé</w:t>
      </w:r>
    </w:p>
    <w:p>
      <w:pPr>
        <w:spacing w:after="100"/>
      </w:pPr>
      <w:r>
        <w:rPr>
          <w:sz w:val="21"/>
          <w:szCs w:val="21"/>
        </w:rPr>
        <w:t xml:space="preserve">Définition : ensemble des processus de planification, d'organisation, de coordination et de contrôle des ressources du système de santé, visant à améliorer l'état de santé des populations à travers des soins efficaces, efficients et de qualité, et à optimiser l'utilisation de ressources limitées.</w:t>
      </w:r>
    </w:p>
    <w:p>
      <w:pPr>
        <w:pStyle w:val="Heading2"/>
        <w:spacing w:after="120" w:before="280"/>
      </w:pPr>
      <w:r>
        <w:rPr>
          <w:b/>
          <w:bCs/>
          <w:color w:val="2E74B5"/>
          <w:sz w:val="24"/>
          <w:szCs w:val="24"/>
        </w:rPr>
        <w:t xml:space="preserve">2. </w:t>
      </w:r>
      <w:r>
        <w:rPr>
          <w:b/>
          <w:bCs/>
          <w:color w:val="222222"/>
          <w:sz w:val="24"/>
          <w:szCs w:val="24"/>
        </w:rPr>
        <w:t xml:space="preserve">Gouvernance en santé</w:t>
      </w:r>
    </w:p>
    <w:p>
      <w:pPr>
        <w:spacing w:after="100"/>
      </w:pPr>
      <w:r>
        <w:rPr>
          <w:sz w:val="21"/>
          <w:szCs w:val="21"/>
        </w:rPr>
        <w:t xml:space="preserve">Définition : ensemble des mécanismes, règles, institutions et processus qui encadrent la prise de décision, l'orientation stratégique et la régulation du système de santé, en assurant une gestion juste, équitable et stratégique.</w:t>
      </w:r>
    </w:p>
    <w:p>
      <w:pPr>
        <w:spacing w:after="60" w:before="120"/>
      </w:pPr>
      <w:r>
        <w:rPr>
          <w:b/>
          <w:bCs/>
          <w:color w:val="1F3864"/>
          <w:sz w:val="21"/>
          <w:szCs w:val="21"/>
        </w:rPr>
        <w:t xml:space="preserve">Exigences associées :</w:t>
      </w:r>
    </w:p>
    <w:p>
      <w:pPr>
        <w:pStyle w:val="ListParagraph"/>
        <w:numPr>
          <w:ilvl w:val="0"/>
          <w:numId w:val="2"/>
        </w:numPr>
        <w:spacing w:after="60"/>
      </w:pPr>
      <w:r>
        <w:rPr>
          <w:sz w:val="21"/>
          <w:szCs w:val="21"/>
        </w:rPr>
        <w:t xml:space="preserve">Transparence</w:t>
      </w:r>
    </w:p>
    <w:p>
      <w:pPr>
        <w:pStyle w:val="ListParagraph"/>
        <w:numPr>
          <w:ilvl w:val="0"/>
          <w:numId w:val="2"/>
        </w:numPr>
        <w:spacing w:after="60"/>
      </w:pPr>
      <w:r>
        <w:rPr>
          <w:sz w:val="21"/>
          <w:szCs w:val="21"/>
        </w:rPr>
        <w:t xml:space="preserve">Redevabilité</w:t>
      </w:r>
    </w:p>
    <w:p>
      <w:pPr>
        <w:pStyle w:val="ListParagraph"/>
        <w:numPr>
          <w:ilvl w:val="0"/>
          <w:numId w:val="2"/>
        </w:numPr>
        <w:spacing w:after="60"/>
      </w:pPr>
      <w:r>
        <w:rPr>
          <w:sz w:val="21"/>
          <w:szCs w:val="21"/>
        </w:rPr>
        <w:t xml:space="preserve">Participation</w:t>
      </w:r>
    </w:p>
    <w:p>
      <w:pPr>
        <w:pStyle w:val="ListParagraph"/>
        <w:numPr>
          <w:ilvl w:val="0"/>
          <w:numId w:val="2"/>
        </w:numPr>
        <w:spacing w:after="60"/>
      </w:pPr>
      <w:r>
        <w:rPr>
          <w:sz w:val="21"/>
          <w:szCs w:val="21"/>
        </w:rPr>
        <w:t xml:space="preserve">Équité</w:t>
      </w:r>
    </w:p>
    <w:p>
      <w:pPr>
        <w:pStyle w:val="ListParagraph"/>
        <w:numPr>
          <w:ilvl w:val="0"/>
          <w:numId w:val="2"/>
        </w:numPr>
        <w:spacing w:after="60"/>
      </w:pPr>
      <w:r>
        <w:rPr>
          <w:sz w:val="21"/>
          <w:szCs w:val="21"/>
        </w:rPr>
        <w:t xml:space="preserve">État de droit</w:t>
      </w:r>
    </w:p>
    <w:p>
      <w:pPr>
        <w:pStyle w:val="Heading2"/>
        <w:spacing w:after="120" w:before="280"/>
      </w:pPr>
      <w:r>
        <w:rPr>
          <w:b/>
          <w:bCs/>
          <w:color w:val="2E74B5"/>
          <w:sz w:val="24"/>
          <w:szCs w:val="24"/>
        </w:rPr>
        <w:t xml:space="preserve">3. </w:t>
      </w:r>
      <w:r>
        <w:rPr>
          <w:b/>
          <w:bCs/>
          <w:color w:val="222222"/>
          <w:sz w:val="24"/>
          <w:szCs w:val="24"/>
        </w:rPr>
        <w:t xml:space="preserve">Leadership en santé</w:t>
      </w:r>
    </w:p>
    <w:p>
      <w:pPr>
        <w:spacing w:after="100"/>
      </w:pPr>
      <w:r>
        <w:rPr>
          <w:sz w:val="21"/>
          <w:szCs w:val="21"/>
        </w:rPr>
        <w:t xml:space="preserve">Définition : capacité d'un professionnel de santé à influencer, mobiliser et inspirer les acteurs du système pour atteindre des objectifs de santé publique, en apportant le changement et en améliorant la performance du système de santé.</w:t>
      </w:r>
    </w:p>
    <w:p>
      <w:pPr>
        <w:pStyle w:val="Heading1"/>
        <w:pBdr>
          <w:bottom w:val="single" w:color="1F3864" w:sz="6" w:space="4"/>
        </w:pBdr>
        <w:spacing w:after="200" w:before="400"/>
      </w:pPr>
      <w:r>
        <w:rPr>
          <w:b/>
          <w:bCs/>
          <w:color w:val="1F3864"/>
          <w:sz w:val="32"/>
          <w:szCs w:val="32"/>
        </w:rPr>
        <w:t xml:space="preserve">Module 2 — Système de santé (Madagascar)</w:t>
      </w:r>
    </w:p>
    <w:p>
      <w:pPr>
        <w:pStyle w:val="Heading2"/>
        <w:spacing w:after="120" w:before="280"/>
      </w:pPr>
      <w:r>
        <w:rPr>
          <w:b/>
          <w:bCs/>
          <w:color w:val="2E74B5"/>
          <w:sz w:val="24"/>
          <w:szCs w:val="24"/>
        </w:rPr>
        <w:t xml:space="preserve">4. </w:t>
      </w:r>
      <w:r>
        <w:rPr>
          <w:b/>
          <w:bCs/>
          <w:color w:val="222222"/>
          <w:sz w:val="24"/>
          <w:szCs w:val="24"/>
        </w:rPr>
        <w:t xml:space="preserve">Organisation du système de santé aux niveaux CSB et CHRD</w:t>
      </w:r>
    </w:p>
    <w:p>
      <w:pPr>
        <w:spacing w:after="60" w:before="120"/>
      </w:pPr>
      <w:r>
        <w:rPr>
          <w:b/>
          <w:bCs/>
          <w:color w:val="1F3864"/>
          <w:sz w:val="21"/>
          <w:szCs w:val="21"/>
        </w:rPr>
        <w:t xml:space="preserve">CSB (Centre de Santé de Base)</w:t>
      </w:r>
    </w:p>
    <w:p>
      <w:pPr>
        <w:spacing w:after="100"/>
      </w:pPr>
      <w:r>
        <w:rPr>
          <w:sz w:val="21"/>
          <w:szCs w:val="21"/>
        </w:rPr>
        <w:t xml:space="preserve">Activités : consultations générales ; soins maternels et infantiles (CPN, accouchement simple) ; vaccination (PEV) ; planification familiale ; prise en charge des maladies courantes (paludisme, infections respiratoires, diarrhées) ; prévention et promotion de la santé.</w:t>
      </w:r>
    </w:p>
    <w:p>
      <w:pPr>
        <w:spacing w:after="100"/>
      </w:pPr>
      <w:r>
        <w:rPr>
          <w:sz w:val="21"/>
          <w:szCs w:val="21"/>
        </w:rPr>
        <w:t xml:space="preserve">Rôles : premier contact avec la population ; porte d'entrée du système de santé ; réduction de la morbidité et de la mortalité de base ; orientation des patients vers les niveaux supérieurs.</w:t>
      </w:r>
    </w:p>
    <w:p>
      <w:pPr>
        <w:spacing w:after="60" w:before="120"/>
      </w:pPr>
      <w:r>
        <w:rPr>
          <w:b/>
          <w:bCs/>
          <w:color w:val="1F3864"/>
          <w:sz w:val="21"/>
          <w:szCs w:val="21"/>
        </w:rPr>
        <w:t xml:space="preserve">CHRD (Centre Hospitalier de Référence de District)</w:t>
      </w:r>
    </w:p>
    <w:p>
      <w:pPr>
        <w:spacing w:after="100"/>
      </w:pPr>
      <w:r>
        <w:rPr>
          <w:sz w:val="21"/>
          <w:szCs w:val="21"/>
        </w:rPr>
        <w:t xml:space="preserve">Activités : consultations médicales ; hospitalisation ; soins d'urgence ; chirurgie de base ; examens de laboratoire simples ; prise en charge des cas référés par les CSB.</w:t>
      </w:r>
    </w:p>
    <w:p>
      <w:pPr>
        <w:spacing w:after="100"/>
      </w:pPr>
      <w:r>
        <w:rPr>
          <w:sz w:val="21"/>
          <w:szCs w:val="21"/>
        </w:rPr>
        <w:t xml:space="preserve">Rôles : référence pour les CSB vers les niveaux supérieurs ; prise en charge des cas nécessitant une hospitalisation ; appui technique aux CSB ; organisation du système de référence/contre-référence.</w:t>
      </w:r>
    </w:p>
    <w:p>
      <w:pPr>
        <w:pStyle w:val="Heading2"/>
        <w:spacing w:after="120" w:before="280"/>
      </w:pPr>
      <w:r>
        <w:rPr>
          <w:b/>
          <w:bCs/>
          <w:color w:val="2E74B5"/>
          <w:sz w:val="24"/>
          <w:szCs w:val="24"/>
        </w:rPr>
        <w:t xml:space="preserve">5. </w:t>
      </w:r>
      <w:r>
        <w:rPr>
          <w:b/>
          <w:bCs/>
          <w:color w:val="222222"/>
          <w:sz w:val="24"/>
          <w:szCs w:val="24"/>
        </w:rPr>
        <w:t xml:space="preserve">Piliers du système de santé (6 piliers)</w:t>
      </w:r>
    </w:p>
    <w:p>
      <w:pPr>
        <w:pStyle w:val="ListParagraph"/>
        <w:numPr>
          <w:ilvl w:val="0"/>
          <w:numId w:val="2"/>
        </w:numPr>
        <w:spacing w:after="60"/>
      </w:pPr>
      <w:r>
        <w:rPr>
          <w:sz w:val="21"/>
          <w:szCs w:val="21"/>
        </w:rPr>
        <w:t xml:space="preserve">Prestation de services</w:t>
      </w:r>
    </w:p>
    <w:p>
      <w:pPr>
        <w:pStyle w:val="ListParagraph"/>
        <w:numPr>
          <w:ilvl w:val="0"/>
          <w:numId w:val="2"/>
        </w:numPr>
        <w:spacing w:after="60"/>
      </w:pPr>
      <w:r>
        <w:rPr>
          <w:sz w:val="21"/>
          <w:szCs w:val="21"/>
        </w:rPr>
        <w:t xml:space="preserve">Ressources humaines en santé (RHS)</w:t>
      </w:r>
    </w:p>
    <w:p>
      <w:pPr>
        <w:pStyle w:val="ListParagraph"/>
        <w:numPr>
          <w:ilvl w:val="0"/>
          <w:numId w:val="2"/>
        </w:numPr>
        <w:spacing w:after="60"/>
      </w:pPr>
      <w:r>
        <w:rPr>
          <w:sz w:val="21"/>
          <w:szCs w:val="21"/>
        </w:rPr>
        <w:t xml:space="preserve">Information sanitaire</w:t>
      </w:r>
    </w:p>
    <w:p>
      <w:pPr>
        <w:pStyle w:val="ListParagraph"/>
        <w:numPr>
          <w:ilvl w:val="0"/>
          <w:numId w:val="2"/>
        </w:numPr>
        <w:spacing w:after="60"/>
      </w:pPr>
      <w:r>
        <w:rPr>
          <w:sz w:val="21"/>
          <w:szCs w:val="21"/>
        </w:rPr>
        <w:t xml:space="preserve">Produits, vaccins et technologies médicaux</w:t>
      </w:r>
    </w:p>
    <w:p>
      <w:pPr>
        <w:pStyle w:val="ListParagraph"/>
        <w:numPr>
          <w:ilvl w:val="0"/>
          <w:numId w:val="2"/>
        </w:numPr>
        <w:spacing w:after="60"/>
      </w:pPr>
      <w:r>
        <w:rPr>
          <w:sz w:val="21"/>
          <w:szCs w:val="21"/>
        </w:rPr>
        <w:t xml:space="preserve">Financement de la santé</w:t>
      </w:r>
    </w:p>
    <w:p>
      <w:pPr>
        <w:pStyle w:val="ListParagraph"/>
        <w:numPr>
          <w:ilvl w:val="0"/>
          <w:numId w:val="2"/>
        </w:numPr>
        <w:spacing w:after="60"/>
      </w:pPr>
      <w:r>
        <w:rPr>
          <w:sz w:val="21"/>
          <w:szCs w:val="21"/>
        </w:rPr>
        <w:t xml:space="preserve">Gouvernance et leadership</w:t>
      </w:r>
    </w:p>
    <w:p>
      <w:pPr>
        <w:pStyle w:val="Heading2"/>
        <w:spacing w:after="120" w:before="280"/>
      </w:pPr>
      <w:r>
        <w:rPr>
          <w:b/>
          <w:bCs/>
          <w:color w:val="2E74B5"/>
          <w:sz w:val="24"/>
          <w:szCs w:val="24"/>
        </w:rPr>
        <w:t xml:space="preserve">6. </w:t>
      </w:r>
      <w:r>
        <w:rPr>
          <w:b/>
          <w:bCs/>
          <w:color w:val="222222"/>
          <w:sz w:val="24"/>
          <w:szCs w:val="24"/>
        </w:rPr>
        <w:t xml:space="preserve">Composantes des soins de santé primaires</w:t>
      </w:r>
    </w:p>
    <w:p>
      <w:pPr>
        <w:spacing w:after="100"/>
      </w:pPr>
      <w:r>
        <w:rPr>
          <w:sz w:val="21"/>
          <w:szCs w:val="21"/>
        </w:rPr>
        <w:t xml:space="preserve">Selon la Déclaration d'Alma Ata (1978), les soins de santé primaires comprennent notamment :</w:t>
      </w:r>
    </w:p>
    <w:p>
      <w:pPr>
        <w:pStyle w:val="ListParagraph"/>
        <w:numPr>
          <w:ilvl w:val="0"/>
          <w:numId w:val="2"/>
        </w:numPr>
        <w:spacing w:after="60"/>
      </w:pPr>
      <w:r>
        <w:rPr>
          <w:sz w:val="21"/>
          <w:szCs w:val="21"/>
        </w:rPr>
        <w:t xml:space="preserve">Éducation concernant les problèmes de santé</w:t>
      </w:r>
    </w:p>
    <w:p>
      <w:pPr>
        <w:pStyle w:val="ListParagraph"/>
        <w:numPr>
          <w:ilvl w:val="0"/>
          <w:numId w:val="2"/>
        </w:numPr>
        <w:spacing w:after="60"/>
      </w:pPr>
      <w:r>
        <w:rPr>
          <w:sz w:val="21"/>
          <w:szCs w:val="21"/>
        </w:rPr>
        <w:t xml:space="preserve">Nutrition adéquate</w:t>
      </w:r>
    </w:p>
    <w:p>
      <w:pPr>
        <w:pStyle w:val="ListParagraph"/>
        <w:numPr>
          <w:ilvl w:val="0"/>
          <w:numId w:val="2"/>
        </w:numPr>
        <w:spacing w:after="60"/>
      </w:pPr>
      <w:r>
        <w:rPr>
          <w:sz w:val="21"/>
          <w:szCs w:val="21"/>
        </w:rPr>
        <w:t xml:space="preserve">Santé maternelle, néonatale et infantile</w:t>
      </w:r>
    </w:p>
    <w:p>
      <w:pPr>
        <w:pStyle w:val="ListParagraph"/>
        <w:numPr>
          <w:ilvl w:val="0"/>
          <w:numId w:val="2"/>
        </w:numPr>
        <w:spacing w:after="60"/>
      </w:pPr>
      <w:r>
        <w:rPr>
          <w:sz w:val="21"/>
          <w:szCs w:val="21"/>
        </w:rPr>
        <w:t xml:space="preserve">Approvisionnement en eau potable, hygiène et assainissement (WASH)</w:t>
      </w:r>
    </w:p>
    <w:p>
      <w:pPr>
        <w:pStyle w:val="ListParagraph"/>
        <w:numPr>
          <w:ilvl w:val="0"/>
          <w:numId w:val="2"/>
        </w:numPr>
        <w:spacing w:after="60"/>
      </w:pPr>
      <w:r>
        <w:rPr>
          <w:sz w:val="21"/>
          <w:szCs w:val="21"/>
        </w:rPr>
        <w:t xml:space="preserve">Prévention et contrôle des endémies locales</w:t>
      </w:r>
    </w:p>
    <w:p>
      <w:pPr>
        <w:pStyle w:val="ListParagraph"/>
        <w:numPr>
          <w:ilvl w:val="0"/>
          <w:numId w:val="2"/>
        </w:numPr>
        <w:spacing w:after="60"/>
      </w:pPr>
      <w:r>
        <w:rPr>
          <w:sz w:val="21"/>
          <w:szCs w:val="21"/>
        </w:rPr>
        <w:t xml:space="preserve">Prise en charge des affections et des lésions courantes</w:t>
      </w:r>
    </w:p>
    <w:p>
      <w:pPr>
        <w:pStyle w:val="ListParagraph"/>
        <w:numPr>
          <w:ilvl w:val="0"/>
          <w:numId w:val="2"/>
        </w:numPr>
        <w:spacing w:after="60"/>
      </w:pPr>
      <w:r>
        <w:rPr>
          <w:sz w:val="21"/>
          <w:szCs w:val="21"/>
        </w:rPr>
        <w:t xml:space="preserve">Vaccination contre les grandes maladies</w:t>
      </w:r>
    </w:p>
    <w:p>
      <w:pPr>
        <w:pStyle w:val="Heading2"/>
        <w:spacing w:after="120" w:before="280"/>
      </w:pPr>
      <w:r>
        <w:rPr>
          <w:b/>
          <w:bCs/>
          <w:color w:val="2E74B5"/>
          <w:sz w:val="24"/>
          <w:szCs w:val="24"/>
        </w:rPr>
        <w:t xml:space="preserve">7. </w:t>
      </w:r>
      <w:r>
        <w:rPr>
          <w:b/>
          <w:bCs/>
          <w:color w:val="222222"/>
          <w:sz w:val="24"/>
          <w:szCs w:val="24"/>
        </w:rPr>
        <w:t xml:space="preserve">Rôles du Médecin</w:t>
      </w:r>
    </w:p>
    <w:p>
      <w:pPr>
        <w:spacing w:after="60" w:before="120"/>
      </w:pPr>
      <w:r>
        <w:rPr>
          <w:b/>
          <w:bCs/>
          <w:color w:val="1F3864"/>
          <w:sz w:val="21"/>
          <w:szCs w:val="21"/>
        </w:rPr>
        <w:t xml:space="preserve">Dans le système de santé (selon le niveau) :</w:t>
      </w:r>
    </w:p>
    <w:p>
      <w:pPr>
        <w:pStyle w:val="ListParagraph"/>
        <w:numPr>
          <w:ilvl w:val="0"/>
          <w:numId w:val="2"/>
        </w:numPr>
        <w:spacing w:after="60"/>
      </w:pPr>
      <w:r>
        <w:rPr>
          <w:sz w:val="21"/>
          <w:szCs w:val="21"/>
        </w:rPr>
        <w:t xml:space="preserve">CSB : médecin de premier recours, prise en charge des maladies courantes, référence des cas dépassant le plateau technique</w:t>
      </w:r>
    </w:p>
    <w:p>
      <w:pPr>
        <w:pStyle w:val="ListParagraph"/>
        <w:numPr>
          <w:ilvl w:val="0"/>
          <w:numId w:val="2"/>
        </w:numPr>
        <w:spacing w:after="60"/>
      </w:pPr>
      <w:r>
        <w:rPr>
          <w:sz w:val="21"/>
          <w:szCs w:val="21"/>
        </w:rPr>
        <w:t xml:space="preserve">CHD : médecin hospitalier polyvalent, gestion des urgences et hospitalisations, encadrement des équipes, supervision des CSB</w:t>
      </w:r>
    </w:p>
    <w:p>
      <w:pPr>
        <w:pStyle w:val="ListParagraph"/>
        <w:numPr>
          <w:ilvl w:val="0"/>
          <w:numId w:val="2"/>
        </w:numPr>
        <w:spacing w:after="60"/>
      </w:pPr>
      <w:r>
        <w:rPr>
          <w:sz w:val="21"/>
          <w:szCs w:val="21"/>
        </w:rPr>
        <w:t xml:space="preserve">CHU : médecin spécialiste/enseignant hospitalo-universitaire, prise en charge des cas complexes et rares, formation et recherche, élaboration de protocoles</w:t>
      </w:r>
    </w:p>
    <w:p>
      <w:pPr>
        <w:spacing w:after="60" w:before="120"/>
      </w:pPr>
      <w:r>
        <w:rPr>
          <w:b/>
          <w:bCs/>
          <w:color w:val="1F3864"/>
          <w:sz w:val="21"/>
          <w:szCs w:val="21"/>
        </w:rPr>
        <w:t xml:space="preserve">Dans la gestion :</w:t>
      </w:r>
    </w:p>
    <w:p>
      <w:pPr>
        <w:pStyle w:val="ListParagraph"/>
        <w:numPr>
          <w:ilvl w:val="0"/>
          <w:numId w:val="2"/>
        </w:numPr>
        <w:spacing w:after="60"/>
      </w:pPr>
      <w:r>
        <w:rPr>
          <w:sz w:val="21"/>
          <w:szCs w:val="21"/>
        </w:rPr>
        <w:t xml:space="preserve">Coordination : organisation des activités et des équipes, gestion du parcours patient, collaboration inter-services</w:t>
      </w:r>
    </w:p>
    <w:p>
      <w:pPr>
        <w:pStyle w:val="ListParagraph"/>
        <w:numPr>
          <w:ilvl w:val="0"/>
          <w:numId w:val="2"/>
        </w:numPr>
        <w:spacing w:after="60"/>
      </w:pPr>
      <w:r>
        <w:rPr>
          <w:sz w:val="21"/>
          <w:szCs w:val="21"/>
        </w:rPr>
        <w:t xml:space="preserve">Gestion des ressources : utilisation rationnelle des médicaments et équipements, optimisation du temps et des ressources humaines, contribution à la planification locale</w:t>
      </w:r>
    </w:p>
    <w:p>
      <w:pPr>
        <w:pStyle w:val="ListParagraph"/>
        <w:numPr>
          <w:ilvl w:val="0"/>
          <w:numId w:val="2"/>
        </w:numPr>
        <w:spacing w:after="60"/>
      </w:pPr>
      <w:r>
        <w:rPr>
          <w:sz w:val="21"/>
          <w:szCs w:val="21"/>
        </w:rPr>
        <w:t xml:space="preserve">Leadership : prise de décision médicale et organisationnelle, motivation des équipes, gestion des crises, promotion de la qualité et de la performance</w:t>
      </w:r>
    </w:p>
    <w:p>
      <w:pPr>
        <w:pStyle w:val="Heading2"/>
        <w:spacing w:after="120" w:before="280"/>
      </w:pPr>
      <w:r>
        <w:rPr>
          <w:b/>
          <w:bCs/>
          <w:color w:val="2E74B5"/>
          <w:sz w:val="24"/>
          <w:szCs w:val="24"/>
        </w:rPr>
        <w:t xml:space="preserve">8. </w:t>
      </w:r>
      <w:r>
        <w:rPr>
          <w:b/>
          <w:bCs/>
          <w:color w:val="222222"/>
          <w:sz w:val="24"/>
          <w:szCs w:val="24"/>
        </w:rPr>
        <w:t xml:space="preserve">Responsabilité professionnelle du Médecin</w:t>
      </w:r>
    </w:p>
    <w:p>
      <w:pPr>
        <w:spacing w:after="100"/>
      </w:pPr>
      <w:r>
        <w:rPr>
          <w:sz w:val="21"/>
          <w:szCs w:val="21"/>
        </w:rPr>
        <w:t xml:space="preserve">Elle porte sur la qualité et la sécurité des soins, et se décline en trois volets :</w:t>
      </w:r>
    </w:p>
    <w:p>
      <w:pPr>
        <w:pStyle w:val="ListParagraph"/>
        <w:numPr>
          <w:ilvl w:val="0"/>
          <w:numId w:val="2"/>
        </w:numPr>
        <w:spacing w:after="60"/>
      </w:pPr>
      <w:r>
        <w:rPr>
          <w:sz w:val="21"/>
          <w:szCs w:val="21"/>
        </w:rPr>
        <w:t xml:space="preserve">Qualité des soins : soins efficaces, sûrs et adaptés ; respect des bonnes pratiques cliniques ; continuité des soins</w:t>
      </w:r>
    </w:p>
    <w:p>
      <w:pPr>
        <w:pStyle w:val="ListParagraph"/>
        <w:numPr>
          <w:ilvl w:val="0"/>
          <w:numId w:val="2"/>
        </w:numPr>
        <w:spacing w:after="60"/>
      </w:pPr>
      <w:r>
        <w:rPr>
          <w:sz w:val="21"/>
          <w:szCs w:val="21"/>
        </w:rPr>
        <w:t xml:space="preserve">Respect des référentiels : application des protocoles nationaux, respect des directives du Ministère de la Santé, utilisation rationnelle des examens et traitements</w:t>
      </w:r>
    </w:p>
    <w:p>
      <w:pPr>
        <w:pStyle w:val="ListParagraph"/>
        <w:numPr>
          <w:ilvl w:val="0"/>
          <w:numId w:val="2"/>
        </w:numPr>
        <w:spacing w:after="60"/>
      </w:pPr>
      <w:r>
        <w:rPr>
          <w:sz w:val="21"/>
          <w:szCs w:val="21"/>
        </w:rPr>
        <w:t xml:space="preserve">Responsabilité éthique et déontologique : secret médical, consentement éclairé du patient, équité dans la prise en charge</w:t>
      </w:r>
    </w:p>
    <w:p>
      <w:pPr>
        <w:pStyle w:val="Heading1"/>
        <w:pBdr>
          <w:bottom w:val="single" w:color="1F3864" w:sz="6" w:space="4"/>
        </w:pBdr>
        <w:spacing w:after="200" w:before="400"/>
      </w:pPr>
      <w:r>
        <w:rPr>
          <w:b/>
          <w:bCs/>
          <w:color w:val="1F3864"/>
          <w:sz w:val="32"/>
          <w:szCs w:val="32"/>
        </w:rPr>
        <w:t xml:space="preserve">Module 3 — Planification en santé</w:t>
      </w:r>
    </w:p>
    <w:p>
      <w:pPr>
        <w:pStyle w:val="Heading2"/>
        <w:spacing w:after="120" w:before="280"/>
      </w:pPr>
      <w:r>
        <w:rPr>
          <w:b/>
          <w:bCs/>
          <w:color w:val="2E74B5"/>
          <w:sz w:val="24"/>
          <w:szCs w:val="24"/>
        </w:rPr>
        <w:t xml:space="preserve">9. </w:t>
      </w:r>
      <w:r>
        <w:rPr>
          <w:b/>
          <w:bCs/>
          <w:color w:val="222222"/>
          <w:sz w:val="24"/>
          <w:szCs w:val="24"/>
        </w:rPr>
        <w:t xml:space="preserve">Principes de la planification sanitaire</w:t>
      </w:r>
    </w:p>
    <w:p>
      <w:pPr>
        <w:pStyle w:val="ListParagraph"/>
        <w:numPr>
          <w:ilvl w:val="0"/>
          <w:numId w:val="2"/>
        </w:numPr>
        <w:spacing w:after="60"/>
      </w:pPr>
      <w:r>
        <w:rPr>
          <w:sz w:val="21"/>
          <w:szCs w:val="21"/>
        </w:rPr>
        <w:t xml:space="preserve">Rationalité : analyse objective des données sanitaires, basée sur les besoins réels</w:t>
      </w:r>
    </w:p>
    <w:p>
      <w:pPr>
        <w:pStyle w:val="ListParagraph"/>
        <w:numPr>
          <w:ilvl w:val="0"/>
          <w:numId w:val="2"/>
        </w:numPr>
        <w:spacing w:after="60"/>
      </w:pPr>
      <w:r>
        <w:rPr>
          <w:sz w:val="21"/>
          <w:szCs w:val="21"/>
        </w:rPr>
        <w:t xml:space="preserve">Priorité : identification et hiérarchisation des problèmes les plus importants</w:t>
      </w:r>
    </w:p>
    <w:p>
      <w:pPr>
        <w:pStyle w:val="ListParagraph"/>
        <w:numPr>
          <w:ilvl w:val="0"/>
          <w:numId w:val="2"/>
        </w:numPr>
        <w:spacing w:after="60"/>
      </w:pPr>
      <w:r>
        <w:rPr>
          <w:sz w:val="21"/>
          <w:szCs w:val="21"/>
        </w:rPr>
        <w:t xml:space="preserve">Faisabilité : disponibilité des ressources humaines, financières et infrastructurelles</w:t>
      </w:r>
    </w:p>
    <w:p>
      <w:pPr>
        <w:pStyle w:val="ListParagraph"/>
        <w:numPr>
          <w:ilvl w:val="0"/>
          <w:numId w:val="2"/>
        </w:numPr>
        <w:spacing w:after="60"/>
      </w:pPr>
      <w:r>
        <w:rPr>
          <w:sz w:val="21"/>
          <w:szCs w:val="21"/>
        </w:rPr>
        <w:t xml:space="preserve">Participation : implication des professionnels, des autorités et de la communauté</w:t>
      </w:r>
    </w:p>
    <w:p>
      <w:pPr>
        <w:pStyle w:val="ListParagraph"/>
        <w:numPr>
          <w:ilvl w:val="0"/>
          <w:numId w:val="2"/>
        </w:numPr>
        <w:spacing w:after="60"/>
      </w:pPr>
      <w:r>
        <w:rPr>
          <w:sz w:val="21"/>
          <w:szCs w:val="21"/>
        </w:rPr>
        <w:t xml:space="preserve">Efficacité et efficience : atteindre les objectifs, avec le minimum de ressources possible</w:t>
      </w:r>
    </w:p>
    <w:p>
      <w:pPr>
        <w:pStyle w:val="ListParagraph"/>
        <w:numPr>
          <w:ilvl w:val="0"/>
          <w:numId w:val="2"/>
        </w:numPr>
        <w:spacing w:after="60"/>
      </w:pPr>
      <w:r>
        <w:rPr>
          <w:sz w:val="21"/>
          <w:szCs w:val="21"/>
        </w:rPr>
        <w:t xml:space="preserve">Intégration : coordination entre les différents niveaux du système de santé</w:t>
      </w:r>
    </w:p>
    <w:p>
      <w:pPr>
        <w:pStyle w:val="ListParagraph"/>
        <w:numPr>
          <w:ilvl w:val="0"/>
          <w:numId w:val="2"/>
        </w:numPr>
        <w:spacing w:after="60"/>
      </w:pPr>
      <w:r>
        <w:rPr>
          <w:sz w:val="21"/>
          <w:szCs w:val="21"/>
        </w:rPr>
        <w:t xml:space="preserve">Équité : actions justes et accessibles à toute la population, sans discrimination</w:t>
      </w:r>
    </w:p>
    <w:p>
      <w:pPr>
        <w:pStyle w:val="ListParagraph"/>
        <w:numPr>
          <w:ilvl w:val="0"/>
          <w:numId w:val="2"/>
        </w:numPr>
        <w:spacing w:after="60"/>
      </w:pPr>
      <w:r>
        <w:rPr>
          <w:sz w:val="21"/>
          <w:szCs w:val="21"/>
        </w:rPr>
        <w:t xml:space="preserve">Continuité : processus permanent (analyse → planification → mise en œuvre → évaluation → réajustement)</w:t>
      </w:r>
    </w:p>
    <w:p>
      <w:pPr>
        <w:pStyle w:val="Heading2"/>
        <w:spacing w:after="120" w:before="280"/>
      </w:pPr>
      <w:r>
        <w:rPr>
          <w:b/>
          <w:bCs/>
          <w:color w:val="2E74B5"/>
          <w:sz w:val="24"/>
          <w:szCs w:val="24"/>
        </w:rPr>
        <w:t xml:space="preserve">10. </w:t>
      </w:r>
      <w:r>
        <w:rPr>
          <w:b/>
          <w:bCs/>
          <w:color w:val="222222"/>
          <w:sz w:val="24"/>
          <w:szCs w:val="24"/>
        </w:rPr>
        <w:t xml:space="preserve">Étapes de la planification en santé</w:t>
      </w:r>
    </w:p>
    <w:p>
      <w:pPr>
        <w:pStyle w:val="ListParagraph"/>
        <w:numPr>
          <w:ilvl w:val="0"/>
          <w:numId w:val="2"/>
        </w:numPr>
        <w:spacing w:after="60"/>
      </w:pPr>
      <w:r>
        <w:rPr>
          <w:sz w:val="21"/>
          <w:szCs w:val="21"/>
        </w:rPr>
        <w:t xml:space="preserve">Analyse de la situation sanitaire</w:t>
      </w:r>
    </w:p>
    <w:p>
      <w:pPr>
        <w:pStyle w:val="ListParagraph"/>
        <w:numPr>
          <w:ilvl w:val="0"/>
          <w:numId w:val="2"/>
        </w:numPr>
        <w:spacing w:after="60"/>
      </w:pPr>
      <w:r>
        <w:rPr>
          <w:sz w:val="21"/>
          <w:szCs w:val="21"/>
        </w:rPr>
        <w:t xml:space="preserve">Identification et priorisation des problèmes</w:t>
      </w:r>
    </w:p>
    <w:p>
      <w:pPr>
        <w:pStyle w:val="ListParagraph"/>
        <w:numPr>
          <w:ilvl w:val="0"/>
          <w:numId w:val="2"/>
        </w:numPr>
        <w:spacing w:after="60"/>
      </w:pPr>
      <w:r>
        <w:rPr>
          <w:sz w:val="21"/>
          <w:szCs w:val="21"/>
        </w:rPr>
        <w:t xml:space="preserve">Définition des objectifs</w:t>
      </w:r>
    </w:p>
    <w:p>
      <w:pPr>
        <w:pStyle w:val="ListParagraph"/>
        <w:numPr>
          <w:ilvl w:val="0"/>
          <w:numId w:val="2"/>
        </w:numPr>
        <w:spacing w:after="60"/>
      </w:pPr>
      <w:r>
        <w:rPr>
          <w:sz w:val="21"/>
          <w:szCs w:val="21"/>
        </w:rPr>
        <w:t xml:space="preserve">Choix des stratégies</w:t>
      </w:r>
    </w:p>
    <w:p>
      <w:pPr>
        <w:pStyle w:val="ListParagraph"/>
        <w:numPr>
          <w:ilvl w:val="0"/>
          <w:numId w:val="2"/>
        </w:numPr>
        <w:spacing w:after="60"/>
      </w:pPr>
      <w:r>
        <w:rPr>
          <w:sz w:val="21"/>
          <w:szCs w:val="21"/>
        </w:rPr>
        <w:t xml:space="preserve">Programmation des activités</w:t>
      </w:r>
    </w:p>
    <w:p>
      <w:pPr>
        <w:pStyle w:val="ListParagraph"/>
        <w:numPr>
          <w:ilvl w:val="0"/>
          <w:numId w:val="2"/>
        </w:numPr>
        <w:spacing w:after="60"/>
      </w:pPr>
      <w:r>
        <w:rPr>
          <w:sz w:val="21"/>
          <w:szCs w:val="21"/>
        </w:rPr>
        <w:t xml:space="preserve">Mobilisation des ressources</w:t>
      </w:r>
    </w:p>
    <w:p>
      <w:pPr>
        <w:pStyle w:val="ListParagraph"/>
        <w:numPr>
          <w:ilvl w:val="0"/>
          <w:numId w:val="2"/>
        </w:numPr>
        <w:spacing w:after="60"/>
      </w:pPr>
      <w:r>
        <w:rPr>
          <w:sz w:val="21"/>
          <w:szCs w:val="21"/>
        </w:rPr>
        <w:t xml:space="preserve">Mise en œuvre du plan</w:t>
      </w:r>
    </w:p>
    <w:p>
      <w:pPr>
        <w:pStyle w:val="ListParagraph"/>
        <w:numPr>
          <w:ilvl w:val="0"/>
          <w:numId w:val="2"/>
        </w:numPr>
        <w:spacing w:after="60"/>
      </w:pPr>
      <w:r>
        <w:rPr>
          <w:sz w:val="21"/>
          <w:szCs w:val="21"/>
        </w:rPr>
        <w:t xml:space="preserve">Suivi des activités</w:t>
      </w:r>
    </w:p>
    <w:p>
      <w:pPr>
        <w:pStyle w:val="ListParagraph"/>
        <w:numPr>
          <w:ilvl w:val="0"/>
          <w:numId w:val="2"/>
        </w:numPr>
        <w:spacing w:after="60"/>
      </w:pPr>
      <w:r>
        <w:rPr>
          <w:sz w:val="21"/>
          <w:szCs w:val="21"/>
        </w:rPr>
        <w:t xml:space="preserve">Évaluation des résultats</w:t>
      </w:r>
    </w:p>
    <w:p>
      <w:pPr>
        <w:pStyle w:val="ListParagraph"/>
        <w:numPr>
          <w:ilvl w:val="0"/>
          <w:numId w:val="2"/>
        </w:numPr>
        <w:spacing w:after="60"/>
      </w:pPr>
      <w:r>
        <w:rPr>
          <w:sz w:val="21"/>
          <w:szCs w:val="21"/>
        </w:rPr>
        <w:t xml:space="preserve">Réajustement / replanification</w:t>
      </w:r>
    </w:p>
    <w:p>
      <w:pPr>
        <w:pStyle w:val="Heading2"/>
        <w:spacing w:after="120" w:before="280"/>
      </w:pPr>
      <w:r>
        <w:rPr>
          <w:b/>
          <w:bCs/>
          <w:color w:val="2E74B5"/>
          <w:sz w:val="24"/>
          <w:szCs w:val="24"/>
        </w:rPr>
        <w:t xml:space="preserve">11. </w:t>
      </w:r>
      <w:r>
        <w:rPr>
          <w:b/>
          <w:bCs/>
          <w:color w:val="222222"/>
          <w:sz w:val="24"/>
          <w:szCs w:val="24"/>
        </w:rPr>
        <w:t xml:space="preserve">Analyse de la planification (analyse de la situation)</w:t>
      </w:r>
    </w:p>
    <w:p>
      <w:pPr>
        <w:spacing w:after="100"/>
      </w:pPr>
      <w:r>
        <w:rPr>
          <w:sz w:val="21"/>
          <w:szCs w:val="21"/>
        </w:rPr>
        <w:t xml:space="preserve">Elle comprend :</w:t>
      </w:r>
    </w:p>
    <w:p>
      <w:pPr>
        <w:pStyle w:val="ListParagraph"/>
        <w:numPr>
          <w:ilvl w:val="0"/>
          <w:numId w:val="2"/>
        </w:numPr>
        <w:spacing w:after="60"/>
      </w:pPr>
      <w:r>
        <w:rPr>
          <w:sz w:val="21"/>
          <w:szCs w:val="21"/>
        </w:rPr>
        <w:t xml:space="preserve">Collecte des données sanitaires (morbidité, mortalité, facteurs de risque)</w:t>
      </w:r>
    </w:p>
    <w:p>
      <w:pPr>
        <w:pStyle w:val="ListParagraph"/>
        <w:numPr>
          <w:ilvl w:val="0"/>
          <w:numId w:val="2"/>
        </w:numPr>
        <w:spacing w:after="60"/>
      </w:pPr>
      <w:r>
        <w:rPr>
          <w:sz w:val="21"/>
          <w:szCs w:val="21"/>
        </w:rPr>
        <w:t xml:space="preserve">Analyse du contexte socio-économique et culturel</w:t>
      </w:r>
    </w:p>
    <w:p>
      <w:pPr>
        <w:pStyle w:val="ListParagraph"/>
        <w:numPr>
          <w:ilvl w:val="0"/>
          <w:numId w:val="2"/>
        </w:numPr>
        <w:spacing w:after="60"/>
      </w:pPr>
      <w:r>
        <w:rPr>
          <w:sz w:val="21"/>
          <w:szCs w:val="21"/>
        </w:rPr>
        <w:t xml:space="preserve">Identification des problèmes prioritaires de santé</w:t>
      </w:r>
    </w:p>
    <w:p>
      <w:pPr>
        <w:pStyle w:val="ListParagraph"/>
        <w:numPr>
          <w:ilvl w:val="0"/>
          <w:numId w:val="2"/>
        </w:numPr>
        <w:spacing w:after="60"/>
      </w:pPr>
      <w:r>
        <w:rPr>
          <w:sz w:val="21"/>
          <w:szCs w:val="21"/>
        </w:rPr>
        <w:t xml:space="preserve">Identification des ressources disponibles (humaines, financières, matérielles, médicaments)</w:t>
      </w:r>
    </w:p>
    <w:p>
      <w:pPr>
        <w:spacing w:after="60" w:before="120"/>
      </w:pPr>
      <w:r>
        <w:rPr>
          <w:b/>
          <w:bCs/>
          <w:color w:val="1F3864"/>
          <w:sz w:val="21"/>
          <w:szCs w:val="21"/>
        </w:rPr>
        <w:t xml:space="preserve">Outils utilisés :</w:t>
      </w:r>
    </w:p>
    <w:p>
      <w:pPr>
        <w:pStyle w:val="ListParagraph"/>
        <w:numPr>
          <w:ilvl w:val="0"/>
          <w:numId w:val="2"/>
        </w:numPr>
        <w:spacing w:after="60"/>
      </w:pPr>
      <w:r>
        <w:rPr>
          <w:sz w:val="21"/>
          <w:szCs w:val="21"/>
        </w:rPr>
        <w:t xml:space="preserve">Enquêtes</w:t>
      </w:r>
    </w:p>
    <w:p>
      <w:pPr>
        <w:pStyle w:val="ListParagraph"/>
        <w:numPr>
          <w:ilvl w:val="0"/>
          <w:numId w:val="2"/>
        </w:numPr>
        <w:spacing w:after="60"/>
      </w:pPr>
      <w:r>
        <w:rPr>
          <w:sz w:val="21"/>
          <w:szCs w:val="21"/>
        </w:rPr>
        <w:t xml:space="preserve">Statistiques sanitaires</w:t>
      </w:r>
    </w:p>
    <w:p>
      <w:pPr>
        <w:pStyle w:val="ListParagraph"/>
        <w:numPr>
          <w:ilvl w:val="0"/>
          <w:numId w:val="2"/>
        </w:numPr>
        <w:spacing w:after="60"/>
      </w:pPr>
      <w:r>
        <w:rPr>
          <w:sz w:val="21"/>
          <w:szCs w:val="21"/>
        </w:rPr>
        <w:t xml:space="preserve">Cartes sanitaires</w:t>
      </w:r>
    </w:p>
    <w:p>
      <w:pPr>
        <w:pStyle w:val="ListParagraph"/>
        <w:numPr>
          <w:ilvl w:val="0"/>
          <w:numId w:val="2"/>
        </w:numPr>
        <w:spacing w:after="60"/>
      </w:pPr>
      <w:r>
        <w:rPr>
          <w:sz w:val="21"/>
          <w:szCs w:val="21"/>
        </w:rPr>
        <w:t xml:space="preserve">Analyse FFOM (Forces, Faiblesses, Opportunités, Menaces)</w:t>
      </w:r>
    </w:p>
    <w:p>
      <w:pPr>
        <w:pStyle w:val="Heading2"/>
        <w:spacing w:after="120" w:before="280"/>
      </w:pPr>
      <w:r>
        <w:rPr>
          <w:b/>
          <w:bCs/>
          <w:color w:val="2E74B5"/>
          <w:sz w:val="24"/>
          <w:szCs w:val="24"/>
        </w:rPr>
        <w:t xml:space="preserve">12. </w:t>
      </w:r>
      <w:r>
        <w:rPr>
          <w:b/>
          <w:bCs/>
          <w:color w:val="222222"/>
          <w:sz w:val="24"/>
          <w:szCs w:val="24"/>
        </w:rPr>
        <w:t xml:space="preserve">Types de planification</w:t>
      </w:r>
    </w:p>
    <w:p>
      <w:pPr>
        <w:pStyle w:val="ListParagraph"/>
        <w:numPr>
          <w:ilvl w:val="0"/>
          <w:numId w:val="2"/>
        </w:numPr>
        <w:spacing w:after="60"/>
      </w:pPr>
      <w:r>
        <w:rPr>
          <w:sz w:val="21"/>
          <w:szCs w:val="21"/>
        </w:rPr>
        <w:t xml:space="preserve">Planification stratégique : long terme (3 à 5 ans)</w:t>
      </w:r>
    </w:p>
    <w:p>
      <w:pPr>
        <w:pStyle w:val="ListParagraph"/>
        <w:numPr>
          <w:ilvl w:val="0"/>
          <w:numId w:val="2"/>
        </w:numPr>
        <w:spacing w:after="60"/>
      </w:pPr>
      <w:r>
        <w:rPr>
          <w:sz w:val="21"/>
          <w:szCs w:val="21"/>
        </w:rPr>
        <w:t xml:space="preserve">Planification opérationnelle : court terme (annuelle)</w:t>
      </w:r>
    </w:p>
    <w:p>
      <w:pPr>
        <w:pStyle w:val="ListParagraph"/>
        <w:numPr>
          <w:ilvl w:val="0"/>
          <w:numId w:val="2"/>
        </w:numPr>
        <w:spacing w:after="60"/>
      </w:pPr>
      <w:r>
        <w:rPr>
          <w:sz w:val="21"/>
          <w:szCs w:val="21"/>
        </w:rPr>
        <w:t xml:space="preserve">Planification d'urgence : épidémie, catastrophe</w:t>
      </w:r>
    </w:p>
    <w:p>
      <w:pPr>
        <w:pStyle w:val="ListParagraph"/>
        <w:numPr>
          <w:ilvl w:val="0"/>
          <w:numId w:val="2"/>
        </w:numPr>
        <w:spacing w:after="60"/>
      </w:pPr>
      <w:r>
        <w:rPr>
          <w:sz w:val="21"/>
          <w:szCs w:val="21"/>
        </w:rPr>
        <w:t xml:space="preserve">Planification participative : réalisée avec la communauté</w:t>
      </w:r>
    </w:p>
    <w:p>
      <w:pPr>
        <w:spacing w:after="100"/>
      </w:pPr>
      <w:r>
        <w:rPr>
          <w:sz w:val="21"/>
          <w:szCs w:val="21"/>
        </w:rPr>
        <w:t xml:space="preserve">On distingue aussi 4 niveaux de planification : central (politique nationale), régional (coordination et adaptation), district (plan opérationnel de district) et local/CSB/communauté (identification des besoins locaux et mise en œuvre directe).</w:t>
      </w:r>
    </w:p>
    <w:p>
      <w:pPr>
        <w:pStyle w:val="Heading2"/>
        <w:spacing w:after="120" w:before="280"/>
      </w:pPr>
      <w:r>
        <w:rPr>
          <w:b/>
          <w:bCs/>
          <w:color w:val="2E74B5"/>
          <w:sz w:val="24"/>
          <w:szCs w:val="24"/>
        </w:rPr>
        <w:t xml:space="preserve">13. </w:t>
      </w:r>
      <w:r>
        <w:rPr>
          <w:b/>
          <w:bCs/>
          <w:color w:val="222222"/>
          <w:sz w:val="24"/>
          <w:szCs w:val="24"/>
        </w:rPr>
        <w:t xml:space="preserve">Priorisation des problèmes</w:t>
      </w:r>
    </w:p>
    <w:p>
      <w:pPr>
        <w:spacing w:after="100"/>
      </w:pPr>
      <w:r>
        <w:rPr>
          <w:sz w:val="21"/>
          <w:szCs w:val="21"/>
        </w:rPr>
        <w:t xml:space="preserve">Elle consiste en la hiérarchisation des problèmes selon leur gravité, leur fréquence, leur coût, leur faisabilité et leur impact, en utilisant des critères tels que la charge de morbidité, l'urgence et la faisabilité.</w:t>
      </w:r>
    </w:p>
    <w:p>
      <w:pPr>
        <w:pStyle w:val="Heading2"/>
        <w:spacing w:after="120" w:before="280"/>
      </w:pPr>
      <w:r>
        <w:rPr>
          <w:b/>
          <w:bCs/>
          <w:color w:val="2E74B5"/>
          <w:sz w:val="24"/>
          <w:szCs w:val="24"/>
        </w:rPr>
        <w:t xml:space="preserve">14. </w:t>
      </w:r>
      <w:r>
        <w:rPr>
          <w:b/>
          <w:bCs/>
          <w:color w:val="222222"/>
          <w:sz w:val="24"/>
          <w:szCs w:val="24"/>
        </w:rPr>
        <w:t xml:space="preserve">Choix des stratégies</w:t>
      </w:r>
    </w:p>
    <w:p>
      <w:pPr>
        <w:spacing w:after="100"/>
      </w:pPr>
      <w:r>
        <w:rPr>
          <w:sz w:val="21"/>
          <w:szCs w:val="21"/>
        </w:rPr>
        <w:t xml:space="preserve">Sélection des interventions efficaces, choix des approches (préventive, curative, promotionnelle) et adaptation au contexte local.</w:t>
      </w:r>
    </w:p>
    <w:p>
      <w:pPr>
        <w:spacing w:after="60" w:before="120"/>
      </w:pPr>
      <w:r>
        <w:rPr>
          <w:b/>
          <w:bCs/>
          <w:color w:val="1F3864"/>
          <w:sz w:val="21"/>
          <w:szCs w:val="21"/>
        </w:rPr>
        <w:t xml:space="preserve">Exemples de stratégies :</w:t>
      </w:r>
    </w:p>
    <w:p>
      <w:pPr>
        <w:pStyle w:val="ListParagraph"/>
        <w:numPr>
          <w:ilvl w:val="0"/>
          <w:numId w:val="2"/>
        </w:numPr>
        <w:spacing w:after="60"/>
      </w:pPr>
      <w:r>
        <w:rPr>
          <w:sz w:val="21"/>
          <w:szCs w:val="21"/>
        </w:rPr>
        <w:t xml:space="preserve">Sensibilisation communautaire</w:t>
      </w:r>
    </w:p>
    <w:p>
      <w:pPr>
        <w:pStyle w:val="ListParagraph"/>
        <w:numPr>
          <w:ilvl w:val="0"/>
          <w:numId w:val="2"/>
        </w:numPr>
        <w:spacing w:after="60"/>
      </w:pPr>
      <w:r>
        <w:rPr>
          <w:sz w:val="21"/>
          <w:szCs w:val="21"/>
        </w:rPr>
        <w:t xml:space="preserve">Formation du personnel</w:t>
      </w:r>
    </w:p>
    <w:p>
      <w:pPr>
        <w:pStyle w:val="ListParagraph"/>
        <w:numPr>
          <w:ilvl w:val="0"/>
          <w:numId w:val="2"/>
        </w:numPr>
        <w:spacing w:after="60"/>
      </w:pPr>
      <w:r>
        <w:rPr>
          <w:sz w:val="21"/>
          <w:szCs w:val="21"/>
        </w:rPr>
        <w:t xml:space="preserve">Renforcement logistique</w:t>
      </w:r>
    </w:p>
    <w:p>
      <w:pPr>
        <w:pStyle w:val="ListParagraph"/>
        <w:numPr>
          <w:ilvl w:val="0"/>
          <w:numId w:val="2"/>
        </w:numPr>
        <w:spacing w:after="60"/>
      </w:pPr>
      <w:r>
        <w:rPr>
          <w:sz w:val="21"/>
          <w:szCs w:val="21"/>
        </w:rPr>
        <w:t xml:space="preserve">Campagnes mobiles</w:t>
      </w:r>
    </w:p>
    <w:p>
      <w:pPr>
        <w:pStyle w:val="ListParagraph"/>
        <w:numPr>
          <w:ilvl w:val="0"/>
          <w:numId w:val="2"/>
        </w:numPr>
        <w:spacing w:after="60"/>
      </w:pPr>
      <w:r>
        <w:rPr>
          <w:sz w:val="21"/>
          <w:szCs w:val="21"/>
        </w:rPr>
        <w:t xml:space="preserve">Partenariats</w:t>
      </w:r>
    </w:p>
    <w:p>
      <w:pPr>
        <w:pStyle w:val="Heading2"/>
        <w:spacing w:after="120" w:before="280"/>
      </w:pPr>
      <w:r>
        <w:rPr>
          <w:b/>
          <w:bCs/>
          <w:color w:val="2E74B5"/>
          <w:sz w:val="24"/>
          <w:szCs w:val="24"/>
        </w:rPr>
        <w:t xml:space="preserve">15. </w:t>
      </w:r>
      <w:r>
        <w:rPr>
          <w:b/>
          <w:bCs/>
          <w:color w:val="222222"/>
          <w:sz w:val="24"/>
          <w:szCs w:val="24"/>
        </w:rPr>
        <w:t xml:space="preserve">Rôle du Médecin dans la planification</w:t>
      </w:r>
    </w:p>
    <w:p>
      <w:pPr>
        <w:pStyle w:val="ListParagraph"/>
        <w:numPr>
          <w:ilvl w:val="0"/>
          <w:numId w:val="2"/>
        </w:numPr>
        <w:spacing w:after="60"/>
      </w:pPr>
      <w:r>
        <w:rPr>
          <w:sz w:val="21"/>
          <w:szCs w:val="21"/>
        </w:rPr>
        <w:t xml:space="preserve">Identification des problèmes de santé</w:t>
      </w:r>
    </w:p>
    <w:p>
      <w:pPr>
        <w:pStyle w:val="ListParagraph"/>
        <w:numPr>
          <w:ilvl w:val="0"/>
          <w:numId w:val="2"/>
        </w:numPr>
        <w:spacing w:after="60"/>
      </w:pPr>
      <w:r>
        <w:rPr>
          <w:sz w:val="21"/>
          <w:szCs w:val="21"/>
        </w:rPr>
        <w:t xml:space="preserve">Participation à la prise de décision</w:t>
      </w:r>
    </w:p>
    <w:p>
      <w:pPr>
        <w:pStyle w:val="ListParagraph"/>
        <w:numPr>
          <w:ilvl w:val="0"/>
          <w:numId w:val="2"/>
        </w:numPr>
        <w:spacing w:after="60"/>
      </w:pPr>
      <w:r>
        <w:rPr>
          <w:sz w:val="21"/>
          <w:szCs w:val="21"/>
        </w:rPr>
        <w:t xml:space="preserve">Élaboration des stratégies et programmes</w:t>
      </w:r>
    </w:p>
    <w:p>
      <w:pPr>
        <w:pStyle w:val="ListParagraph"/>
        <w:numPr>
          <w:ilvl w:val="0"/>
          <w:numId w:val="2"/>
        </w:numPr>
        <w:spacing w:after="60"/>
      </w:pPr>
      <w:r>
        <w:rPr>
          <w:sz w:val="21"/>
          <w:szCs w:val="21"/>
        </w:rPr>
        <w:t xml:space="preserve">Mise en œuvre des activités sanitaires</w:t>
      </w:r>
    </w:p>
    <w:p>
      <w:pPr>
        <w:pStyle w:val="ListParagraph"/>
        <w:numPr>
          <w:ilvl w:val="0"/>
          <w:numId w:val="2"/>
        </w:numPr>
        <w:spacing w:after="60"/>
      </w:pPr>
      <w:r>
        <w:rPr>
          <w:sz w:val="21"/>
          <w:szCs w:val="21"/>
        </w:rPr>
        <w:t xml:space="preserve">Suivi et surveillance des actions</w:t>
      </w:r>
    </w:p>
    <w:p>
      <w:pPr>
        <w:pStyle w:val="ListParagraph"/>
        <w:numPr>
          <w:ilvl w:val="0"/>
          <w:numId w:val="2"/>
        </w:numPr>
        <w:spacing w:after="60"/>
      </w:pPr>
      <w:r>
        <w:rPr>
          <w:sz w:val="21"/>
          <w:szCs w:val="21"/>
        </w:rPr>
        <w:t xml:space="preserve">Évaluation des programmes</w:t>
      </w:r>
    </w:p>
    <w:p>
      <w:pPr>
        <w:pStyle w:val="ListParagraph"/>
        <w:numPr>
          <w:ilvl w:val="0"/>
          <w:numId w:val="2"/>
        </w:numPr>
        <w:spacing w:after="60"/>
      </w:pPr>
      <w:r>
        <w:rPr>
          <w:sz w:val="21"/>
          <w:szCs w:val="21"/>
        </w:rPr>
        <w:t xml:space="preserve">Éducation et communication en santé</w:t>
      </w:r>
    </w:p>
    <w:p>
      <w:pPr>
        <w:pStyle w:val="ListParagraph"/>
        <w:numPr>
          <w:ilvl w:val="0"/>
          <w:numId w:val="2"/>
        </w:numPr>
        <w:spacing w:after="60"/>
      </w:pPr>
      <w:r>
        <w:rPr>
          <w:sz w:val="21"/>
          <w:szCs w:val="21"/>
        </w:rPr>
        <w:t xml:space="preserve">Plaidoyer en santé publique</w:t>
      </w:r>
    </w:p>
    <w:p>
      <w:pPr>
        <w:pStyle w:val="ListParagraph"/>
        <w:numPr>
          <w:ilvl w:val="0"/>
          <w:numId w:val="2"/>
        </w:numPr>
        <w:spacing w:after="60"/>
      </w:pPr>
      <w:r>
        <w:rPr>
          <w:sz w:val="21"/>
          <w:szCs w:val="21"/>
        </w:rPr>
        <w:t xml:space="preserve">Recherche et innovation en santé</w:t>
      </w:r>
    </w:p>
    <w:p>
      <w:pPr>
        <w:pStyle w:val="Heading1"/>
        <w:pBdr>
          <w:bottom w:val="single" w:color="1F3864" w:sz="6" w:space="4"/>
        </w:pBdr>
        <w:spacing w:after="200" w:before="400"/>
      </w:pPr>
      <w:r>
        <w:rPr>
          <w:b/>
          <w:bCs/>
          <w:color w:val="1F3864"/>
          <w:sz w:val="32"/>
          <w:szCs w:val="32"/>
        </w:rPr>
        <w:t xml:space="preserve">Module 4 — Organisation en santé</w:t>
      </w:r>
    </w:p>
    <w:p>
      <w:pPr>
        <w:pStyle w:val="Heading2"/>
        <w:spacing w:after="120" w:before="280"/>
      </w:pPr>
      <w:r>
        <w:rPr>
          <w:b/>
          <w:bCs/>
          <w:color w:val="2E74B5"/>
          <w:sz w:val="24"/>
          <w:szCs w:val="24"/>
        </w:rPr>
        <w:t xml:space="preserve">16. </w:t>
      </w:r>
      <w:r>
        <w:rPr>
          <w:b/>
          <w:bCs/>
          <w:color w:val="222222"/>
          <w:sz w:val="24"/>
          <w:szCs w:val="24"/>
        </w:rPr>
        <w:t xml:space="preserve">Principes fondamentaux de l'organisation</w:t>
      </w:r>
    </w:p>
    <w:p>
      <w:pPr>
        <w:pStyle w:val="ListParagraph"/>
        <w:numPr>
          <w:ilvl w:val="0"/>
          <w:numId w:val="2"/>
        </w:numPr>
        <w:spacing w:after="60"/>
      </w:pPr>
      <w:r>
        <w:rPr>
          <w:sz w:val="21"/>
          <w:szCs w:val="21"/>
        </w:rPr>
        <w:t xml:space="preserve">Répartition du travail : chaque professionnel exerce des tâches correspondant à ses compétences</w:t>
      </w:r>
    </w:p>
    <w:p>
      <w:pPr>
        <w:pStyle w:val="ListParagraph"/>
        <w:numPr>
          <w:ilvl w:val="0"/>
          <w:numId w:val="2"/>
        </w:numPr>
        <w:spacing w:after="60"/>
      </w:pPr>
      <w:r>
        <w:rPr>
          <w:sz w:val="21"/>
          <w:szCs w:val="21"/>
        </w:rPr>
        <w:t xml:space="preserve">Spécialisation : activités réparties selon les domaines d'expertise (médecine, chirurgie, laboratoire, pharmacie...)</w:t>
      </w:r>
    </w:p>
    <w:p>
      <w:pPr>
        <w:pStyle w:val="ListParagraph"/>
        <w:numPr>
          <w:ilvl w:val="0"/>
          <w:numId w:val="2"/>
        </w:numPr>
        <w:spacing w:after="60"/>
      </w:pPr>
      <w:r>
        <w:rPr>
          <w:sz w:val="21"/>
          <w:szCs w:val="21"/>
        </w:rPr>
        <w:t xml:space="preserve">Hiérarchie : chaque agent connaît son supérieur hiérarchique et ses responsabilités</w:t>
      </w:r>
    </w:p>
    <w:p>
      <w:pPr>
        <w:pStyle w:val="ListParagraph"/>
        <w:numPr>
          <w:ilvl w:val="0"/>
          <w:numId w:val="2"/>
        </w:numPr>
        <w:spacing w:after="60"/>
      </w:pPr>
      <w:r>
        <w:rPr>
          <w:sz w:val="21"/>
          <w:szCs w:val="21"/>
        </w:rPr>
        <w:t xml:space="preserve">Coordination : collaboration entre services pour assurer la continuité des soins</w:t>
      </w:r>
    </w:p>
    <w:p>
      <w:pPr>
        <w:pStyle w:val="ListParagraph"/>
        <w:numPr>
          <w:ilvl w:val="0"/>
          <w:numId w:val="2"/>
        </w:numPr>
        <w:spacing w:after="60"/>
      </w:pPr>
      <w:r>
        <w:rPr>
          <w:sz w:val="21"/>
          <w:szCs w:val="21"/>
        </w:rPr>
        <w:t xml:space="preserve">Délégation : un responsable peut confier des tâches tout en gardant la responsabilité finale</w:t>
      </w:r>
    </w:p>
    <w:p>
      <w:pPr>
        <w:pStyle w:val="ListParagraph"/>
        <w:numPr>
          <w:ilvl w:val="0"/>
          <w:numId w:val="2"/>
        </w:numPr>
        <w:spacing w:after="60"/>
      </w:pPr>
      <w:r>
        <w:rPr>
          <w:sz w:val="21"/>
          <w:szCs w:val="21"/>
        </w:rPr>
        <w:t xml:space="preserve">Communication : circulation rapide et fiable de l'information</w:t>
      </w:r>
    </w:p>
    <w:p>
      <w:pPr>
        <w:pStyle w:val="Heading2"/>
        <w:spacing w:after="120" w:before="280"/>
      </w:pPr>
      <w:r>
        <w:rPr>
          <w:b/>
          <w:bCs/>
          <w:color w:val="2E74B5"/>
          <w:sz w:val="24"/>
          <w:szCs w:val="24"/>
        </w:rPr>
        <w:t xml:space="preserve">17. </w:t>
      </w:r>
      <w:r>
        <w:rPr>
          <w:b/>
          <w:bCs/>
          <w:color w:val="222222"/>
          <w:sz w:val="24"/>
          <w:szCs w:val="24"/>
        </w:rPr>
        <w:t xml:space="preserve">Composantes de l'organisation</w:t>
      </w:r>
    </w:p>
    <w:p>
      <w:pPr>
        <w:pStyle w:val="ListParagraph"/>
        <w:numPr>
          <w:ilvl w:val="0"/>
          <w:numId w:val="2"/>
        </w:numPr>
        <w:spacing w:after="60"/>
      </w:pPr>
      <w:r>
        <w:rPr>
          <w:sz w:val="21"/>
          <w:szCs w:val="21"/>
        </w:rPr>
        <w:t xml:space="preserve">Ressources humaines : médecins, infirmiers, sages-femmes, pharmaciens, techniciens, personnel administratif et d'appui</w:t>
      </w:r>
    </w:p>
    <w:p>
      <w:pPr>
        <w:pStyle w:val="ListParagraph"/>
        <w:numPr>
          <w:ilvl w:val="0"/>
          <w:numId w:val="2"/>
        </w:numPr>
        <w:spacing w:after="60"/>
      </w:pPr>
      <w:r>
        <w:rPr>
          <w:sz w:val="21"/>
          <w:szCs w:val="21"/>
        </w:rPr>
        <w:t xml:space="preserve">Ressources financières : budget de fonctionnement, investissements, financements publics et partenaires</w:t>
      </w:r>
    </w:p>
    <w:p>
      <w:pPr>
        <w:pStyle w:val="ListParagraph"/>
        <w:numPr>
          <w:ilvl w:val="0"/>
          <w:numId w:val="2"/>
        </w:numPr>
        <w:spacing w:after="60"/>
      </w:pPr>
      <w:r>
        <w:rPr>
          <w:sz w:val="21"/>
          <w:szCs w:val="21"/>
        </w:rPr>
        <w:t xml:space="preserve">Ressources matérielles : bâtiments, équipements médicaux, médicaments, véhicules, mobilier</w:t>
      </w:r>
    </w:p>
    <w:p>
      <w:pPr>
        <w:pStyle w:val="ListParagraph"/>
        <w:numPr>
          <w:ilvl w:val="0"/>
          <w:numId w:val="2"/>
        </w:numPr>
        <w:spacing w:after="60"/>
      </w:pPr>
      <w:r>
        <w:rPr>
          <w:sz w:val="21"/>
          <w:szCs w:val="21"/>
        </w:rPr>
        <w:t xml:space="preserve">Ressources informationnelles : dossiers médicaux, systèmes d'information sanitaire, indicateurs, rapports d'activités</w:t>
      </w:r>
    </w:p>
    <w:p>
      <w:pPr>
        <w:pStyle w:val="Heading2"/>
        <w:spacing w:after="120" w:before="280"/>
      </w:pPr>
      <w:r>
        <w:rPr>
          <w:b/>
          <w:bCs/>
          <w:color w:val="2E74B5"/>
          <w:sz w:val="24"/>
          <w:szCs w:val="24"/>
        </w:rPr>
        <w:t xml:space="preserve">18. </w:t>
      </w:r>
      <w:r>
        <w:rPr>
          <w:b/>
          <w:bCs/>
          <w:color w:val="222222"/>
          <w:sz w:val="24"/>
          <w:szCs w:val="24"/>
        </w:rPr>
        <w:t xml:space="preserve">Structures organisationnelles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Pr>
          <w:p>
            <w:r>
              <w:rPr>
                <w:b/>
                <w:bCs/>
                <w:color w:val="FFFFFF"/>
                <w:sz w:val="20"/>
                <w:szCs w:val="20"/>
              </w:rPr>
              <w:t xml:space="preserve">Structure</w:t>
            </w:r>
          </w:p>
        </w:tc>
        <w:tc>
          <w:tcPr>
            <w:tcW w:type="dxa" w:w="3000"/>
            <w:shd w:fill="1F3864" w:val="clear"/>
          </w:tcPr>
          <w:p>
            <w:r>
              <w:rPr>
                <w:b/>
                <w:bCs/>
                <w:color w:val="FFFFFF"/>
                <w:sz w:val="20"/>
                <w:szCs w:val="20"/>
              </w:rPr>
              <w:t xml:space="preserve">Avantages</w:t>
            </w:r>
          </w:p>
        </w:tc>
        <w:tc>
          <w:tcPr>
            <w:tcW w:type="dxa" w:w="3000"/>
            <w:shd w:fill="1F3864" w:val="clear"/>
          </w:tcPr>
          <w:p>
            <w:r>
              <w:rPr>
                <w:b/>
                <w:bCs/>
                <w:color w:val="FFFFFF"/>
                <w:sz w:val="20"/>
                <w:szCs w:val="20"/>
              </w:rPr>
              <w:t xml:space="preserve">Inconvénients</w:t>
            </w:r>
          </w:p>
        </w:tc>
      </w:tr>
      <w:tr>
        <w:tc>
          <w:tcPr>
            <w:tcW w:type="dxa" w:w="3000"/>
            <w:shd w:fill="F2F2F2" w:val="clear"/>
          </w:tcPr>
          <w:p>
            <w:r>
              <w:rPr>
                <w:sz w:val="20"/>
                <w:szCs w:val="20"/>
              </w:rPr>
              <w:t xml:space="preserve">Hiérarchique (chaque agent dépend d'un seul supérieur)</w:t>
            </w:r>
          </w:p>
        </w:tc>
        <w:tc>
          <w:tcPr>
            <w:tcW w:type="dxa" w:w="3000"/>
            <w:shd w:fill="F2F2F2" w:val="clear"/>
          </w:tcPr>
          <w:p>
            <w:r>
              <w:rPr>
                <w:sz w:val="20"/>
                <w:szCs w:val="20"/>
              </w:rPr>
              <w:t xml:space="preserve">Simplicité, discipline, responsabilités claires</w:t>
            </w:r>
          </w:p>
        </w:tc>
        <w:tc>
          <w:tcPr>
            <w:tcW w:type="dxa" w:w="3000"/>
            <w:shd w:fill="F2F2F2" w:val="clear"/>
          </w:tcPr>
          <w:p>
            <w:r>
              <w:rPr>
                <w:sz w:val="20"/>
                <w:szCs w:val="20"/>
              </w:rPr>
              <w:t xml:space="preserve">Rigidité, lenteur des décisions</w:t>
            </w:r>
          </w:p>
        </w:tc>
      </w:tr>
      <w:tr>
        <w:tc>
          <w:tcPr>
            <w:tcW w:type="dxa" w:w="3000"/>
            <w:shd w:fill="FFFFFF" w:val="clear"/>
          </w:tcPr>
          <w:p>
            <w:r>
              <w:rPr>
                <w:sz w:val="20"/>
                <w:szCs w:val="20"/>
              </w:rPr>
              <w:t xml:space="preserve">Fonctionnelle (directives de plusieurs spécialistes)</w:t>
            </w:r>
          </w:p>
        </w:tc>
        <w:tc>
          <w:tcPr>
            <w:tcW w:type="dxa" w:w="3000"/>
            <w:shd w:fill="FFFFFF" w:val="clear"/>
          </w:tcPr>
          <w:p>
            <w:r>
              <w:rPr>
                <w:sz w:val="20"/>
                <w:szCs w:val="20"/>
              </w:rPr>
              <w:t xml:space="preserve">Expertise technique, meilleure qualité des décisions</w:t>
            </w:r>
          </w:p>
        </w:tc>
        <w:tc>
          <w:tcPr>
            <w:tcW w:type="dxa" w:w="3000"/>
            <w:shd w:fill="FFFFFF" w:val="clear"/>
          </w:tcPr>
          <w:p>
            <w:r>
              <w:rPr>
                <w:sz w:val="20"/>
                <w:szCs w:val="20"/>
              </w:rPr>
              <w:t xml:space="preserve">Risque de conflits d'autorité</w:t>
            </w:r>
          </w:p>
        </w:tc>
      </w:tr>
      <w:tr>
        <w:tc>
          <w:tcPr>
            <w:tcW w:type="dxa" w:w="3000"/>
            <w:shd w:fill="F2F2F2" w:val="clear"/>
          </w:tcPr>
          <w:p>
            <w:r>
              <w:rPr>
                <w:sz w:val="20"/>
                <w:szCs w:val="20"/>
              </w:rPr>
              <w:t xml:space="preserve">Matricielle (hiérarchique + fonctionnelle)</w:t>
            </w:r>
          </w:p>
        </w:tc>
        <w:tc>
          <w:tcPr>
            <w:tcW w:type="dxa" w:w="3000"/>
            <w:shd w:fill="F2F2F2" w:val="clear"/>
          </w:tcPr>
          <w:p>
            <w:r>
              <w:rPr>
                <w:sz w:val="20"/>
                <w:szCs w:val="20"/>
              </w:rPr>
              <w:t xml:space="preserve">Grande flexibilité, meilleure coordination</w:t>
            </w:r>
          </w:p>
        </w:tc>
        <w:tc>
          <w:tcPr>
            <w:tcW w:type="dxa" w:w="3000"/>
            <w:shd w:fill="F2F2F2" w:val="clear"/>
          </w:tcPr>
          <w:p>
            <w:r>
              <w:rPr>
                <w:sz w:val="20"/>
                <w:szCs w:val="20"/>
              </w:rPr>
              <w:t xml:space="preserve">Complexité, multiplication des responsabilités</w:t>
            </w:r>
          </w:p>
        </w:tc>
      </w:tr>
    </w:tbl>
    <w:p>
      <w:pPr>
        <w:pStyle w:val="Heading2"/>
        <w:spacing w:after="120" w:before="280"/>
      </w:pPr>
      <w:r>
        <w:rPr>
          <w:b/>
          <w:bCs/>
          <w:color w:val="2E74B5"/>
          <w:sz w:val="24"/>
          <w:szCs w:val="24"/>
        </w:rPr>
        <w:t xml:space="preserve">19. </w:t>
      </w:r>
      <w:r>
        <w:rPr>
          <w:b/>
          <w:bCs/>
          <w:color w:val="222222"/>
          <w:sz w:val="24"/>
          <w:szCs w:val="24"/>
        </w:rPr>
        <w:t xml:space="preserve">Mécanismes de coordination</w:t>
      </w:r>
    </w:p>
    <w:p>
      <w:pPr>
        <w:pStyle w:val="ListParagraph"/>
        <w:numPr>
          <w:ilvl w:val="0"/>
          <w:numId w:val="2"/>
        </w:numPr>
        <w:spacing w:after="60"/>
      </w:pPr>
      <w:r>
        <w:rPr>
          <w:sz w:val="21"/>
          <w:szCs w:val="21"/>
        </w:rPr>
        <w:t xml:space="preserve">Réunions de coordination</w:t>
      </w:r>
    </w:p>
    <w:p>
      <w:pPr>
        <w:pStyle w:val="ListParagraph"/>
        <w:numPr>
          <w:ilvl w:val="0"/>
          <w:numId w:val="2"/>
        </w:numPr>
        <w:spacing w:after="60"/>
      </w:pPr>
      <w:r>
        <w:rPr>
          <w:sz w:val="21"/>
          <w:szCs w:val="21"/>
        </w:rPr>
        <w:t xml:space="preserve">Protocoles de soins</w:t>
      </w:r>
    </w:p>
    <w:p>
      <w:pPr>
        <w:pStyle w:val="ListParagraph"/>
        <w:numPr>
          <w:ilvl w:val="0"/>
          <w:numId w:val="2"/>
        </w:numPr>
        <w:spacing w:after="60"/>
      </w:pPr>
      <w:r>
        <w:rPr>
          <w:sz w:val="21"/>
          <w:szCs w:val="21"/>
        </w:rPr>
        <w:t xml:space="preserve">Procédures opératoires standardisées</w:t>
      </w:r>
    </w:p>
    <w:p>
      <w:pPr>
        <w:pStyle w:val="ListParagraph"/>
        <w:numPr>
          <w:ilvl w:val="0"/>
          <w:numId w:val="2"/>
        </w:numPr>
        <w:spacing w:after="60"/>
      </w:pPr>
      <w:r>
        <w:rPr>
          <w:sz w:val="21"/>
          <w:szCs w:val="21"/>
        </w:rPr>
        <w:t xml:space="preserve">Référentiels de qualité</w:t>
      </w:r>
    </w:p>
    <w:p>
      <w:pPr>
        <w:pStyle w:val="ListParagraph"/>
        <w:numPr>
          <w:ilvl w:val="0"/>
          <w:numId w:val="2"/>
        </w:numPr>
        <w:spacing w:after="60"/>
      </w:pPr>
      <w:r>
        <w:rPr>
          <w:sz w:val="21"/>
          <w:szCs w:val="21"/>
        </w:rPr>
        <w:t xml:space="preserve">Système d'information hospitalier</w:t>
      </w:r>
    </w:p>
    <w:p>
      <w:pPr>
        <w:pStyle w:val="ListParagraph"/>
        <w:numPr>
          <w:ilvl w:val="0"/>
          <w:numId w:val="2"/>
        </w:numPr>
        <w:spacing w:after="60"/>
      </w:pPr>
      <w:r>
        <w:rPr>
          <w:sz w:val="21"/>
          <w:szCs w:val="21"/>
        </w:rPr>
        <w:t xml:space="preserve">Supervision et suivi</w:t>
      </w:r>
    </w:p>
    <w:p>
      <w:pPr>
        <w:pStyle w:val="Heading1"/>
        <w:pBdr>
          <w:bottom w:val="single" w:color="1F3864" w:sz="6" w:space="4"/>
        </w:pBdr>
        <w:spacing w:after="200" w:before="400"/>
      </w:pPr>
      <w:r>
        <w:rPr>
          <w:b/>
          <w:bCs/>
          <w:color w:val="1F3864"/>
          <w:sz w:val="32"/>
          <w:szCs w:val="32"/>
        </w:rPr>
        <w:t xml:space="preserve">Module 5 — Direction</w:t>
      </w:r>
    </w:p>
    <w:p>
      <w:pPr>
        <w:pStyle w:val="Heading2"/>
        <w:spacing w:after="120" w:before="280"/>
      </w:pPr>
      <w:r>
        <w:rPr>
          <w:b/>
          <w:bCs/>
          <w:color w:val="2E74B5"/>
          <w:sz w:val="24"/>
          <w:szCs w:val="24"/>
        </w:rPr>
        <w:t xml:space="preserve">20. </w:t>
      </w:r>
      <w:r>
        <w:rPr>
          <w:b/>
          <w:bCs/>
          <w:color w:val="222222"/>
          <w:sz w:val="24"/>
          <w:szCs w:val="24"/>
        </w:rPr>
        <w:t xml:space="preserve">Fonctions de la direction</w:t>
      </w:r>
    </w:p>
    <w:p>
      <w:pPr>
        <w:pStyle w:val="ListParagraph"/>
        <w:numPr>
          <w:ilvl w:val="0"/>
          <w:numId w:val="2"/>
        </w:numPr>
        <w:spacing w:after="60"/>
      </w:pPr>
      <w:r>
        <w:rPr>
          <w:sz w:val="21"/>
          <w:szCs w:val="21"/>
        </w:rPr>
        <w:t xml:space="preserve">Prise de décision : choisir la meilleure solution en s'appuyant sur les données, les priorités sanitaires et les ressources disponibles</w:t>
      </w:r>
    </w:p>
    <w:p>
      <w:pPr>
        <w:pStyle w:val="ListParagraph"/>
        <w:numPr>
          <w:ilvl w:val="0"/>
          <w:numId w:val="2"/>
        </w:numPr>
        <w:spacing w:after="60"/>
      </w:pPr>
      <w:r>
        <w:rPr>
          <w:sz w:val="21"/>
          <w:szCs w:val="21"/>
        </w:rPr>
        <w:t xml:space="preserve">Communication : transmettre les informations, clarifier les attentes, coordonner les actions, prévenir les erreurs</w:t>
      </w:r>
    </w:p>
    <w:p>
      <w:pPr>
        <w:pStyle w:val="ListParagraph"/>
        <w:numPr>
          <w:ilvl w:val="0"/>
          <w:numId w:val="2"/>
        </w:numPr>
        <w:spacing w:after="60"/>
      </w:pPr>
      <w:r>
        <w:rPr>
          <w:sz w:val="21"/>
          <w:szCs w:val="21"/>
        </w:rPr>
        <w:t xml:space="preserve">Motivation : renforcer l'engagement des professionnels (reconnaissance, formation continue, participation aux décisions, bonnes conditions de travail, évolution professionnelle)</w:t>
      </w:r>
    </w:p>
    <w:p>
      <w:pPr>
        <w:pStyle w:val="ListParagraph"/>
        <w:numPr>
          <w:ilvl w:val="0"/>
          <w:numId w:val="2"/>
        </w:numPr>
        <w:spacing w:after="60"/>
      </w:pPr>
      <w:r>
        <w:rPr>
          <w:sz w:val="21"/>
          <w:szCs w:val="21"/>
        </w:rPr>
        <w:t xml:space="preserve">Leadership : capacité d'influencer positivement une équipe pour atteindre un objectif commun</w:t>
      </w:r>
    </w:p>
    <w:p>
      <w:pPr>
        <w:pStyle w:val="ListParagraph"/>
        <w:numPr>
          <w:ilvl w:val="0"/>
          <w:numId w:val="2"/>
        </w:numPr>
        <w:spacing w:after="60"/>
      </w:pPr>
      <w:r>
        <w:rPr>
          <w:sz w:val="21"/>
          <w:szCs w:val="21"/>
        </w:rPr>
        <w:t xml:space="preserve">Supervision : accompagner les équipes, vérifier la conformité des pratiques, apporter un soutien technique, corriger les écarts</w:t>
      </w:r>
    </w:p>
    <w:p>
      <w:pPr>
        <w:pStyle w:val="Heading2"/>
        <w:spacing w:after="120" w:before="280"/>
      </w:pPr>
      <w:r>
        <w:rPr>
          <w:b/>
          <w:bCs/>
          <w:color w:val="2E74B5"/>
          <w:sz w:val="24"/>
          <w:szCs w:val="24"/>
        </w:rPr>
        <w:t xml:space="preserve">21. </w:t>
      </w:r>
      <w:r>
        <w:rPr>
          <w:b/>
          <w:bCs/>
          <w:color w:val="222222"/>
          <w:sz w:val="24"/>
          <w:szCs w:val="24"/>
        </w:rPr>
        <w:t xml:space="preserve">Styles de direction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Pr>
          <w:p>
            <w:r>
              <w:rPr>
                <w:b/>
                <w:bCs/>
                <w:color w:val="FFFFFF"/>
                <w:sz w:val="20"/>
                <w:szCs w:val="20"/>
              </w:rPr>
              <w:t xml:space="preserve">Style</w:t>
            </w:r>
          </w:p>
        </w:tc>
        <w:tc>
          <w:tcPr>
            <w:tcW w:type="dxa" w:w="3000"/>
            <w:shd w:fill="1F3864" w:val="clear"/>
          </w:tcPr>
          <w:p>
            <w:r>
              <w:rPr>
                <w:b/>
                <w:bCs/>
                <w:color w:val="FFFFFF"/>
                <w:sz w:val="20"/>
                <w:szCs w:val="20"/>
              </w:rPr>
              <w:t xml:space="preserve">Avantages</w:t>
            </w:r>
          </w:p>
        </w:tc>
        <w:tc>
          <w:tcPr>
            <w:tcW w:type="dxa" w:w="3000"/>
            <w:shd w:fill="1F3864" w:val="clear"/>
          </w:tcPr>
          <w:p>
            <w:r>
              <w:rPr>
                <w:b/>
                <w:bCs/>
                <w:color w:val="FFFFFF"/>
                <w:sz w:val="20"/>
                <w:szCs w:val="20"/>
              </w:rPr>
              <w:t xml:space="preserve">Limites</w:t>
            </w:r>
          </w:p>
        </w:tc>
      </w:tr>
      <w:tr>
        <w:tc>
          <w:tcPr>
            <w:tcW w:type="dxa" w:w="3000"/>
            <w:shd w:fill="F2F2F2" w:val="clear"/>
          </w:tcPr>
          <w:p>
            <w:r>
              <w:rPr>
                <w:sz w:val="20"/>
                <w:szCs w:val="20"/>
              </w:rPr>
              <w:t xml:space="preserve">Autoritaire (décisions imposées seul)</w:t>
            </w:r>
          </w:p>
        </w:tc>
        <w:tc>
          <w:tcPr>
            <w:tcW w:type="dxa" w:w="3000"/>
            <w:shd w:fill="F2F2F2" w:val="clear"/>
          </w:tcPr>
          <w:p>
            <w:r>
              <w:rPr>
                <w:sz w:val="20"/>
                <w:szCs w:val="20"/>
              </w:rPr>
              <w:t xml:space="preserve">Rapidité de décision, utile en urgence</w:t>
            </w:r>
          </w:p>
        </w:tc>
        <w:tc>
          <w:tcPr>
            <w:tcW w:type="dxa" w:w="3000"/>
            <w:shd w:fill="F2F2F2" w:val="clear"/>
          </w:tcPr>
          <w:p>
            <w:r>
              <w:rPr>
                <w:sz w:val="20"/>
                <w:szCs w:val="20"/>
              </w:rPr>
              <w:t xml:space="preserve">Faible participation, risque de démotivation</w:t>
            </w:r>
          </w:p>
        </w:tc>
      </w:tr>
      <w:tr>
        <w:tc>
          <w:tcPr>
            <w:tcW w:type="dxa" w:w="3000"/>
            <w:shd w:fill="FFFFFF" w:val="clear"/>
          </w:tcPr>
          <w:p>
            <w:r>
              <w:rPr>
                <w:sz w:val="20"/>
                <w:szCs w:val="20"/>
              </w:rPr>
              <w:t xml:space="preserve">Démocratique (décisions avec participation)</w:t>
            </w:r>
          </w:p>
        </w:tc>
        <w:tc>
          <w:tcPr>
            <w:tcW w:type="dxa" w:w="3000"/>
            <w:shd w:fill="FFFFFF" w:val="clear"/>
          </w:tcPr>
          <w:p>
            <w:r>
              <w:rPr>
                <w:sz w:val="20"/>
                <w:szCs w:val="20"/>
              </w:rPr>
              <w:t xml:space="preserve">Motivation accrue, meilleure adhésion, esprit d'équipe</w:t>
            </w:r>
          </w:p>
        </w:tc>
        <w:tc>
          <w:tcPr>
            <w:tcW w:type="dxa" w:w="3000"/>
            <w:shd w:fill="FFFFFF" w:val="clear"/>
          </w:tcPr>
          <w:p>
            <w:r>
              <w:rPr>
                <w:sz w:val="20"/>
                <w:szCs w:val="20"/>
              </w:rPr>
              <w:t xml:space="preserve">Processus décisionnel parfois plus long</w:t>
            </w:r>
          </w:p>
        </w:tc>
      </w:tr>
      <w:tr>
        <w:tc>
          <w:tcPr>
            <w:tcW w:type="dxa" w:w="3000"/>
            <w:shd w:fill="F2F2F2" w:val="clear"/>
          </w:tcPr>
          <w:p>
            <w:r>
              <w:rPr>
                <w:sz w:val="20"/>
                <w:szCs w:val="20"/>
              </w:rPr>
              <w:t xml:space="preserve">Délégatif / laisser-faire (grande autonomie)</w:t>
            </w:r>
          </w:p>
        </w:tc>
        <w:tc>
          <w:tcPr>
            <w:tcW w:type="dxa" w:w="3000"/>
            <w:shd w:fill="F2F2F2" w:val="clear"/>
          </w:tcPr>
          <w:p>
            <w:r>
              <w:rPr>
                <w:sz w:val="20"/>
                <w:szCs w:val="20"/>
              </w:rPr>
              <w:t xml:space="preserve">Responsabilisation, développement des compétences</w:t>
            </w:r>
          </w:p>
        </w:tc>
        <w:tc>
          <w:tcPr>
            <w:tcW w:type="dxa" w:w="3000"/>
            <w:shd w:fill="F2F2F2" w:val="clear"/>
          </w:tcPr>
          <w:p>
            <w:r>
              <w:rPr>
                <w:sz w:val="20"/>
                <w:szCs w:val="20"/>
              </w:rPr>
              <w:t xml:space="preserve">Risque de manque de coordination si suivi insuffisant</w:t>
            </w:r>
          </w:p>
        </w:tc>
      </w:tr>
    </w:tbl>
    <w:p>
      <w:pPr>
        <w:pStyle w:val="Heading2"/>
        <w:spacing w:after="120" w:before="280"/>
      </w:pPr>
      <w:r>
        <w:rPr>
          <w:b/>
          <w:bCs/>
          <w:color w:val="2E74B5"/>
          <w:sz w:val="24"/>
          <w:szCs w:val="24"/>
        </w:rPr>
        <w:t xml:space="preserve">22. </w:t>
      </w:r>
      <w:r>
        <w:rPr>
          <w:b/>
          <w:bCs/>
          <w:color w:val="222222"/>
          <w:sz w:val="24"/>
          <w:szCs w:val="24"/>
        </w:rPr>
        <w:t xml:space="preserve">Qualités d'un bon dirigeant en santé</w:t>
      </w:r>
    </w:p>
    <w:p>
      <w:pPr>
        <w:pStyle w:val="ListParagraph"/>
        <w:numPr>
          <w:ilvl w:val="0"/>
          <w:numId w:val="2"/>
        </w:numPr>
        <w:spacing w:after="60"/>
      </w:pPr>
      <w:r>
        <w:rPr>
          <w:sz w:val="21"/>
          <w:szCs w:val="21"/>
        </w:rPr>
        <w:t xml:space="preserve">Compétence technique</w:t>
      </w:r>
    </w:p>
    <w:p>
      <w:pPr>
        <w:pStyle w:val="ListParagraph"/>
        <w:numPr>
          <w:ilvl w:val="0"/>
          <w:numId w:val="2"/>
        </w:numPr>
        <w:spacing w:after="60"/>
      </w:pPr>
      <w:r>
        <w:rPr>
          <w:sz w:val="21"/>
          <w:szCs w:val="21"/>
        </w:rPr>
        <w:t xml:space="preserve">Intégrité et éthique</w:t>
      </w:r>
    </w:p>
    <w:p>
      <w:pPr>
        <w:pStyle w:val="ListParagraph"/>
        <w:numPr>
          <w:ilvl w:val="0"/>
          <w:numId w:val="2"/>
        </w:numPr>
        <w:spacing w:after="60"/>
      </w:pPr>
      <w:r>
        <w:rPr>
          <w:sz w:val="21"/>
          <w:szCs w:val="21"/>
        </w:rPr>
        <w:t xml:space="preserve">Sens des responsabilités</w:t>
      </w:r>
    </w:p>
    <w:p>
      <w:pPr>
        <w:pStyle w:val="ListParagraph"/>
        <w:numPr>
          <w:ilvl w:val="0"/>
          <w:numId w:val="2"/>
        </w:numPr>
        <w:spacing w:after="60"/>
      </w:pPr>
      <w:r>
        <w:rPr>
          <w:sz w:val="21"/>
          <w:szCs w:val="21"/>
        </w:rPr>
        <w:t xml:space="preserve">Capacité d'écoute</w:t>
      </w:r>
    </w:p>
    <w:p>
      <w:pPr>
        <w:pStyle w:val="ListParagraph"/>
        <w:numPr>
          <w:ilvl w:val="0"/>
          <w:numId w:val="2"/>
        </w:numPr>
        <w:spacing w:after="60"/>
      </w:pPr>
      <w:r>
        <w:rPr>
          <w:sz w:val="21"/>
          <w:szCs w:val="21"/>
        </w:rPr>
        <w:t xml:space="preserve">Esprit d'analyse</w:t>
      </w:r>
    </w:p>
    <w:p>
      <w:pPr>
        <w:pStyle w:val="ListParagraph"/>
        <w:numPr>
          <w:ilvl w:val="0"/>
          <w:numId w:val="2"/>
        </w:numPr>
        <w:spacing w:after="60"/>
      </w:pPr>
      <w:r>
        <w:rPr>
          <w:sz w:val="21"/>
          <w:szCs w:val="21"/>
        </w:rPr>
        <w:t xml:space="preserve">Capacité à résoudre les problèmes</w:t>
      </w:r>
    </w:p>
    <w:p>
      <w:pPr>
        <w:pStyle w:val="ListParagraph"/>
        <w:numPr>
          <w:ilvl w:val="0"/>
          <w:numId w:val="2"/>
        </w:numPr>
        <w:spacing w:after="60"/>
      </w:pPr>
      <w:r>
        <w:rPr>
          <w:sz w:val="21"/>
          <w:szCs w:val="21"/>
        </w:rPr>
        <w:t xml:space="preserve">Aptitude à communiquer</w:t>
      </w:r>
    </w:p>
    <w:p>
      <w:pPr>
        <w:pStyle w:val="ListParagraph"/>
        <w:numPr>
          <w:ilvl w:val="0"/>
          <w:numId w:val="2"/>
        </w:numPr>
        <w:spacing w:after="60"/>
      </w:pPr>
      <w:r>
        <w:rPr>
          <w:sz w:val="21"/>
          <w:szCs w:val="21"/>
        </w:rPr>
        <w:t xml:space="preserve">Équité dans les décisions</w:t>
      </w:r>
    </w:p>
    <w:p>
      <w:pPr>
        <w:pStyle w:val="ListParagraph"/>
        <w:numPr>
          <w:ilvl w:val="0"/>
          <w:numId w:val="2"/>
        </w:numPr>
        <w:spacing w:after="60"/>
      </w:pPr>
      <w:r>
        <w:rPr>
          <w:sz w:val="21"/>
          <w:szCs w:val="21"/>
        </w:rPr>
        <w:t xml:space="preserve">Gestion du stress</w:t>
      </w:r>
    </w:p>
    <w:p>
      <w:pPr>
        <w:pStyle w:val="ListParagraph"/>
        <w:numPr>
          <w:ilvl w:val="0"/>
          <w:numId w:val="2"/>
        </w:numPr>
        <w:spacing w:after="60"/>
      </w:pPr>
      <w:r>
        <w:rPr>
          <w:sz w:val="21"/>
          <w:szCs w:val="21"/>
        </w:rPr>
        <w:t xml:space="preserve">Vision stratégique</w:t>
      </w:r>
    </w:p>
    <w:p>
      <w:pPr>
        <w:pStyle w:val="Heading1"/>
        <w:pBdr>
          <w:bottom w:val="single" w:color="1F3864" w:sz="6" w:space="4"/>
        </w:pBdr>
        <w:spacing w:after="200" w:before="400"/>
      </w:pPr>
      <w:r>
        <w:rPr>
          <w:b/>
          <w:bCs/>
          <w:color w:val="1F3864"/>
          <w:sz w:val="32"/>
          <w:szCs w:val="32"/>
        </w:rPr>
        <w:t xml:space="preserve">Module 6 — Contrôle et suivi</w:t>
      </w:r>
    </w:p>
    <w:p>
      <w:pPr>
        <w:pStyle w:val="Heading2"/>
        <w:spacing w:after="120" w:before="280"/>
      </w:pPr>
      <w:r>
        <w:rPr>
          <w:b/>
          <w:bCs/>
          <w:color w:val="2E74B5"/>
          <w:sz w:val="24"/>
          <w:szCs w:val="24"/>
        </w:rPr>
        <w:t xml:space="preserve">23. </w:t>
      </w:r>
      <w:r>
        <w:rPr>
          <w:b/>
          <w:bCs/>
          <w:color w:val="222222"/>
          <w:sz w:val="24"/>
          <w:szCs w:val="24"/>
        </w:rPr>
        <w:t xml:space="preserve">Définition du suivi et du contrôle</w:t>
      </w:r>
    </w:p>
    <w:p>
      <w:pPr>
        <w:spacing w:after="100"/>
      </w:pPr>
      <w:r>
        <w:rPr>
          <w:sz w:val="21"/>
          <w:szCs w:val="21"/>
        </w:rPr>
        <w:t xml:space="preserve">Suivi : processus continu de collecte, d'analyse et d'utilisation des informations relatives à la mise en œuvre des activités, afin de vérifier leur progression vers les objectifs. Il est réalisé pendant toute la durée du programme et répond aux questions : les activités prévues sont-elles réalisées ? les ressources sont-elles bien utilisées ? les délais sont-ils respectés ?</w:t>
      </w:r>
    </w:p>
    <w:p>
      <w:pPr>
        <w:spacing w:after="100"/>
      </w:pPr>
      <w:r>
        <w:rPr>
          <w:sz w:val="21"/>
          <w:szCs w:val="21"/>
        </w:rPr>
        <w:t xml:space="preserve">Contrôle : processus qui compare les résultats obtenus aux objectifs fixés afin d'identifier les écarts et de mettre en œuvre des mesures correctives. Il répond aux questions : les objectifs sont-ils atteints ? pourquoi existe-t-il des écarts ? quelles actions correctives entreprendre ?</w:t>
      </w:r>
    </w:p>
    <w:p>
      <w:pPr>
        <w:pStyle w:val="Heading2"/>
        <w:spacing w:after="120" w:before="280"/>
      </w:pPr>
      <w:r>
        <w:rPr>
          <w:b/>
          <w:bCs/>
          <w:color w:val="2E74B5"/>
          <w:sz w:val="24"/>
          <w:szCs w:val="24"/>
        </w:rPr>
        <w:t xml:space="preserve">24. </w:t>
      </w:r>
      <w:r>
        <w:rPr>
          <w:b/>
          <w:bCs/>
          <w:color w:val="222222"/>
          <w:sz w:val="24"/>
          <w:szCs w:val="24"/>
        </w:rPr>
        <w:t xml:space="preserve">Objectifs du suivi et du contrôle</w:t>
      </w:r>
    </w:p>
    <w:p>
      <w:pPr>
        <w:pStyle w:val="ListParagraph"/>
        <w:numPr>
          <w:ilvl w:val="0"/>
          <w:numId w:val="2"/>
        </w:numPr>
        <w:spacing w:after="60"/>
      </w:pPr>
      <w:r>
        <w:rPr>
          <w:sz w:val="21"/>
          <w:szCs w:val="21"/>
        </w:rPr>
        <w:t xml:space="preserve">Mesurer les performances</w:t>
      </w:r>
    </w:p>
    <w:p>
      <w:pPr>
        <w:pStyle w:val="ListParagraph"/>
        <w:numPr>
          <w:ilvl w:val="0"/>
          <w:numId w:val="2"/>
        </w:numPr>
        <w:spacing w:after="60"/>
      </w:pPr>
      <w:r>
        <w:rPr>
          <w:sz w:val="21"/>
          <w:szCs w:val="21"/>
        </w:rPr>
        <w:t xml:space="preserve">Vérifier l'exécution des activités</w:t>
      </w:r>
    </w:p>
    <w:p>
      <w:pPr>
        <w:pStyle w:val="ListParagraph"/>
        <w:numPr>
          <w:ilvl w:val="0"/>
          <w:numId w:val="2"/>
        </w:numPr>
        <w:spacing w:after="60"/>
      </w:pPr>
      <w:r>
        <w:rPr>
          <w:sz w:val="21"/>
          <w:szCs w:val="21"/>
        </w:rPr>
        <w:t xml:space="preserve">Détecter rapidement les problèmes</w:t>
      </w:r>
    </w:p>
    <w:p>
      <w:pPr>
        <w:pStyle w:val="ListParagraph"/>
        <w:numPr>
          <w:ilvl w:val="0"/>
          <w:numId w:val="2"/>
        </w:numPr>
        <w:spacing w:after="60"/>
      </w:pPr>
      <w:r>
        <w:rPr>
          <w:sz w:val="21"/>
          <w:szCs w:val="21"/>
        </w:rPr>
        <w:t xml:space="preserve">Améliorer la qualité des soins</w:t>
      </w:r>
    </w:p>
    <w:p>
      <w:pPr>
        <w:pStyle w:val="ListParagraph"/>
        <w:numPr>
          <w:ilvl w:val="0"/>
          <w:numId w:val="2"/>
        </w:numPr>
        <w:spacing w:after="60"/>
      </w:pPr>
      <w:r>
        <w:rPr>
          <w:sz w:val="21"/>
          <w:szCs w:val="21"/>
        </w:rPr>
        <w:t xml:space="preserve">Assurer une utilisation rationnelle des ressources</w:t>
      </w:r>
    </w:p>
    <w:p>
      <w:pPr>
        <w:pStyle w:val="ListParagraph"/>
        <w:numPr>
          <w:ilvl w:val="0"/>
          <w:numId w:val="2"/>
        </w:numPr>
        <w:spacing w:after="60"/>
      </w:pPr>
      <w:r>
        <w:rPr>
          <w:sz w:val="21"/>
          <w:szCs w:val="21"/>
        </w:rPr>
        <w:t xml:space="preserve">Renforcer la transparence et la redevabilité</w:t>
      </w:r>
    </w:p>
    <w:p>
      <w:pPr>
        <w:pStyle w:val="ListParagraph"/>
        <w:numPr>
          <w:ilvl w:val="0"/>
          <w:numId w:val="2"/>
        </w:numPr>
        <w:spacing w:after="60"/>
      </w:pPr>
      <w:r>
        <w:rPr>
          <w:sz w:val="21"/>
          <w:szCs w:val="21"/>
        </w:rPr>
        <w:t xml:space="preserve">Faciliter la prise de décision</w:t>
      </w:r>
    </w:p>
    <w:p>
      <w:pPr>
        <w:pStyle w:val="Heading2"/>
        <w:spacing w:after="120" w:before="280"/>
      </w:pPr>
      <w:r>
        <w:rPr>
          <w:b/>
          <w:bCs/>
          <w:color w:val="2E74B5"/>
          <w:sz w:val="24"/>
          <w:szCs w:val="24"/>
        </w:rPr>
        <w:t xml:space="preserve">25. </w:t>
      </w:r>
      <w:r>
        <w:rPr>
          <w:b/>
          <w:bCs/>
          <w:color w:val="222222"/>
          <w:sz w:val="24"/>
          <w:szCs w:val="24"/>
        </w:rPr>
        <w:t xml:space="preserve">Étapes du contrôle</w:t>
      </w:r>
    </w:p>
    <w:p>
      <w:pPr>
        <w:pStyle w:val="ListParagraph"/>
        <w:numPr>
          <w:ilvl w:val="0"/>
          <w:numId w:val="2"/>
        </w:numPr>
        <w:spacing w:after="60"/>
      </w:pPr>
      <w:r>
        <w:rPr>
          <w:sz w:val="21"/>
          <w:szCs w:val="21"/>
        </w:rPr>
        <w:t xml:space="preserve">Définir les normes (ex : taux de couverture vaccinale ≥ 95 %, délai moyen d'attente &lt; 30 minutes)</w:t>
      </w:r>
    </w:p>
    <w:p>
      <w:pPr>
        <w:pStyle w:val="ListParagraph"/>
        <w:numPr>
          <w:ilvl w:val="0"/>
          <w:numId w:val="2"/>
        </w:numPr>
        <w:spacing w:after="60"/>
      </w:pPr>
      <w:r>
        <w:rPr>
          <w:sz w:val="21"/>
          <w:szCs w:val="21"/>
        </w:rPr>
        <w:t xml:space="preserve">Mesurer les performances : collecter les données (registres, rapports, enquêtes, système d'information sanitaire)</w:t>
      </w:r>
    </w:p>
    <w:p>
      <w:pPr>
        <w:pStyle w:val="ListParagraph"/>
        <w:numPr>
          <w:ilvl w:val="0"/>
          <w:numId w:val="2"/>
        </w:numPr>
        <w:spacing w:after="60"/>
      </w:pPr>
      <w:r>
        <w:rPr>
          <w:sz w:val="21"/>
          <w:szCs w:val="21"/>
        </w:rPr>
        <w:t xml:space="preserve">Comparer les résultats aux objectifs</w:t>
      </w:r>
    </w:p>
    <w:p>
      <w:pPr>
        <w:pStyle w:val="ListParagraph"/>
        <w:numPr>
          <w:ilvl w:val="0"/>
          <w:numId w:val="2"/>
        </w:numPr>
        <w:spacing w:after="60"/>
      </w:pPr>
      <w:r>
        <w:rPr>
          <w:sz w:val="21"/>
          <w:szCs w:val="21"/>
        </w:rPr>
        <w:t xml:space="preserve">Identifier et analyser les écarts (insuffisance de personnel, rupture de stock, mauvaise organisation, manque de formation, contraintes financières)</w:t>
      </w:r>
    </w:p>
    <w:p>
      <w:pPr>
        <w:pStyle w:val="ListParagraph"/>
        <w:numPr>
          <w:ilvl w:val="0"/>
          <w:numId w:val="2"/>
        </w:numPr>
        <w:spacing w:after="60"/>
      </w:pPr>
      <w:r>
        <w:rPr>
          <w:sz w:val="21"/>
          <w:szCs w:val="21"/>
        </w:rPr>
        <w:t xml:space="preserve">Mettre en œuvre des actions correctives (réorganiser le service, renforcer la supervision, former le personnel, améliorer l'approvisionnement, réviser les procédures)</w:t>
      </w:r>
    </w:p>
    <w:p>
      <w:pPr>
        <w:pStyle w:val="Heading2"/>
        <w:spacing w:after="120" w:before="280"/>
      </w:pPr>
      <w:r>
        <w:rPr>
          <w:b/>
          <w:bCs/>
          <w:color w:val="2E74B5"/>
          <w:sz w:val="24"/>
          <w:szCs w:val="24"/>
        </w:rPr>
        <w:t xml:space="preserve">26. </w:t>
      </w:r>
      <w:r>
        <w:rPr>
          <w:b/>
          <w:bCs/>
          <w:color w:val="222222"/>
          <w:sz w:val="24"/>
          <w:szCs w:val="24"/>
        </w:rPr>
        <w:t xml:space="preserve">Indicateurs de suivi</w:t>
      </w:r>
    </w:p>
    <w:p>
      <w:pPr>
        <w:pStyle w:val="ListParagraph"/>
        <w:numPr>
          <w:ilvl w:val="0"/>
          <w:numId w:val="2"/>
        </w:numPr>
        <w:spacing w:after="60"/>
      </w:pPr>
      <w:r>
        <w:rPr>
          <w:sz w:val="21"/>
          <w:szCs w:val="21"/>
        </w:rPr>
        <w:t xml:space="preserve">Indicateurs d'intrants (inputs) : ressources disponibles — ex. nombre d'agents paramédicaux, nombre de scanners, budget alloué</w:t>
      </w:r>
    </w:p>
    <w:p>
      <w:pPr>
        <w:pStyle w:val="ListParagraph"/>
        <w:numPr>
          <w:ilvl w:val="0"/>
          <w:numId w:val="2"/>
        </w:numPr>
        <w:spacing w:after="60"/>
      </w:pPr>
      <w:r>
        <w:rPr>
          <w:sz w:val="21"/>
          <w:szCs w:val="21"/>
        </w:rPr>
        <w:t xml:space="preserve">Indicateurs de processus : activités réalisées — ex. nombre de dépistages, nombre de supervisions, taux de vaccination</w:t>
      </w:r>
    </w:p>
    <w:p>
      <w:pPr>
        <w:pStyle w:val="ListParagraph"/>
        <w:numPr>
          <w:ilvl w:val="0"/>
          <w:numId w:val="2"/>
        </w:numPr>
        <w:spacing w:after="60"/>
      </w:pPr>
      <w:r>
        <w:rPr>
          <w:sz w:val="21"/>
          <w:szCs w:val="21"/>
        </w:rPr>
        <w:t xml:space="preserve">Indicateurs de résultats (outcome) : effets immédiats — ex. taux de guérison, taux d'accouchements assistés, couverture vaccinale</w:t>
      </w:r>
    </w:p>
    <w:p>
      <w:pPr>
        <w:pStyle w:val="ListParagraph"/>
        <w:numPr>
          <w:ilvl w:val="0"/>
          <w:numId w:val="2"/>
        </w:numPr>
        <w:spacing w:after="60"/>
      </w:pPr>
      <w:r>
        <w:rPr>
          <w:sz w:val="21"/>
          <w:szCs w:val="21"/>
        </w:rPr>
        <w:t xml:space="preserve">Indicateurs d'impact : effets à long terme — ex. baisse de la mortalité maternelle et infantile, augmentation de l'espérance de vie</w:t>
      </w:r>
    </w:p>
    <w:p>
      <w:pPr>
        <w:pStyle w:val="Heading2"/>
        <w:spacing w:after="120" w:before="280"/>
      </w:pPr>
      <w:r>
        <w:rPr>
          <w:b/>
          <w:bCs/>
          <w:color w:val="2E74B5"/>
          <w:sz w:val="24"/>
          <w:szCs w:val="24"/>
        </w:rPr>
        <w:t xml:space="preserve">27. </w:t>
      </w:r>
      <w:r>
        <w:rPr>
          <w:b/>
          <w:bCs/>
          <w:color w:val="222222"/>
          <w:sz w:val="24"/>
          <w:szCs w:val="24"/>
        </w:rPr>
        <w:t xml:space="preserve">Différence entre suivi et évaluation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Pr>
          <w:p>
            <w:r>
              <w:rPr>
                <w:b/>
                <w:bCs/>
                <w:color w:val="FFFFFF"/>
                <w:sz w:val="20"/>
                <w:szCs w:val="20"/>
              </w:rPr>
              <w:t xml:space="preserve">Critère</w:t>
            </w:r>
          </w:p>
        </w:tc>
        <w:tc>
          <w:tcPr>
            <w:tcW w:type="dxa" w:w="3000"/>
            <w:shd w:fill="1F3864" w:val="clear"/>
          </w:tcPr>
          <w:p>
            <w:r>
              <w:rPr>
                <w:b/>
                <w:bCs/>
                <w:color w:val="FFFFFF"/>
                <w:sz w:val="20"/>
                <w:szCs w:val="20"/>
              </w:rPr>
              <w:t xml:space="preserve">Suivi</w:t>
            </w:r>
          </w:p>
        </w:tc>
        <w:tc>
          <w:tcPr>
            <w:tcW w:type="dxa" w:w="3000"/>
            <w:shd w:fill="1F3864" w:val="clear"/>
          </w:tcPr>
          <w:p>
            <w:r>
              <w:rPr>
                <w:b/>
                <w:bCs/>
                <w:color w:val="FFFFFF"/>
                <w:sz w:val="20"/>
                <w:szCs w:val="20"/>
              </w:rPr>
              <w:t xml:space="preserve">Évaluation</w:t>
            </w:r>
          </w:p>
        </w:tc>
      </w:tr>
      <w:tr>
        <w:tc>
          <w:tcPr>
            <w:tcW w:type="dxa" w:w="3000"/>
            <w:shd w:fill="F2F2F2" w:val="clear"/>
          </w:tcPr>
          <w:p>
            <w:r>
              <w:rPr>
                <w:sz w:val="20"/>
                <w:szCs w:val="20"/>
              </w:rPr>
              <w:t xml:space="preserve">Moment</w:t>
            </w:r>
          </w:p>
        </w:tc>
        <w:tc>
          <w:tcPr>
            <w:tcW w:type="dxa" w:w="3000"/>
            <w:shd w:fill="F2F2F2" w:val="clear"/>
          </w:tcPr>
          <w:p>
            <w:r>
              <w:rPr>
                <w:sz w:val="20"/>
                <w:szCs w:val="20"/>
              </w:rPr>
              <w:t xml:space="preserve">Continu</w:t>
            </w:r>
          </w:p>
        </w:tc>
        <w:tc>
          <w:tcPr>
            <w:tcW w:type="dxa" w:w="3000"/>
            <w:shd w:fill="F2F2F2" w:val="clear"/>
          </w:tcPr>
          <w:p>
            <w:r>
              <w:rPr>
                <w:sz w:val="20"/>
                <w:szCs w:val="20"/>
              </w:rPr>
              <w:t xml:space="preserve">Périodique</w:t>
            </w:r>
          </w:p>
        </w:tc>
      </w:tr>
      <w:tr>
        <w:tc>
          <w:tcPr>
            <w:tcW w:type="dxa" w:w="3000"/>
            <w:shd w:fill="FFFFFF" w:val="clear"/>
          </w:tcPr>
          <w:p>
            <w:r>
              <w:rPr>
                <w:sz w:val="20"/>
                <w:szCs w:val="20"/>
              </w:rPr>
              <w:t xml:space="preserve">Objectif</w:t>
            </w:r>
          </w:p>
        </w:tc>
        <w:tc>
          <w:tcPr>
            <w:tcW w:type="dxa" w:w="3000"/>
            <w:shd w:fill="FFFFFF" w:val="clear"/>
          </w:tcPr>
          <w:p>
            <w:r>
              <w:rPr>
                <w:sz w:val="20"/>
                <w:szCs w:val="20"/>
              </w:rPr>
              <w:t xml:space="preserve">Vérifier l'exécution</w:t>
            </w:r>
          </w:p>
        </w:tc>
        <w:tc>
          <w:tcPr>
            <w:tcW w:type="dxa" w:w="3000"/>
            <w:shd w:fill="FFFFFF" w:val="clear"/>
          </w:tcPr>
          <w:p>
            <w:r>
              <w:rPr>
                <w:sz w:val="20"/>
                <w:szCs w:val="20"/>
              </w:rPr>
              <w:t xml:space="preserve">Mesurer les résultats et l'impact</w:t>
            </w:r>
          </w:p>
        </w:tc>
      </w:tr>
      <w:tr>
        <w:tc>
          <w:tcPr>
            <w:tcW w:type="dxa" w:w="3000"/>
            <w:shd w:fill="F2F2F2" w:val="clear"/>
          </w:tcPr>
          <w:p>
            <w:r>
              <w:rPr>
                <w:sz w:val="20"/>
                <w:szCs w:val="20"/>
              </w:rPr>
              <w:t xml:space="preserve">Données</w:t>
            </w:r>
          </w:p>
        </w:tc>
        <w:tc>
          <w:tcPr>
            <w:tcW w:type="dxa" w:w="3000"/>
            <w:shd w:fill="F2F2F2" w:val="clear"/>
          </w:tcPr>
          <w:p>
            <w:r>
              <w:rPr>
                <w:sz w:val="20"/>
                <w:szCs w:val="20"/>
              </w:rPr>
              <w:t xml:space="preserve">Activités en cours</w:t>
            </w:r>
          </w:p>
        </w:tc>
        <w:tc>
          <w:tcPr>
            <w:tcW w:type="dxa" w:w="3000"/>
            <w:shd w:fill="F2F2F2" w:val="clear"/>
          </w:tcPr>
          <w:p>
            <w:r>
              <w:rPr>
                <w:sz w:val="20"/>
                <w:szCs w:val="20"/>
              </w:rPr>
              <w:t xml:space="preserve">Résultats finaux</w:t>
            </w:r>
          </w:p>
        </w:tc>
      </w:tr>
      <w:tr>
        <w:tc>
          <w:tcPr>
            <w:tcW w:type="dxa" w:w="3000"/>
            <w:shd w:fill="FFFFFF" w:val="clear"/>
          </w:tcPr>
          <w:p>
            <w:r>
              <w:rPr>
                <w:sz w:val="20"/>
                <w:szCs w:val="20"/>
              </w:rPr>
              <w:t xml:space="preserve">Décision</w:t>
            </w:r>
          </w:p>
        </w:tc>
        <w:tc>
          <w:tcPr>
            <w:tcW w:type="dxa" w:w="3000"/>
            <w:shd w:fill="FFFFFF" w:val="clear"/>
          </w:tcPr>
          <w:p>
            <w:r>
              <w:rPr>
                <w:sz w:val="20"/>
                <w:szCs w:val="20"/>
              </w:rPr>
              <w:t xml:space="preserve">Ajustements immédiats</w:t>
            </w:r>
          </w:p>
        </w:tc>
        <w:tc>
          <w:tcPr>
            <w:tcW w:type="dxa" w:w="3000"/>
            <w:shd w:fill="FFFFFF" w:val="clear"/>
          </w:tcPr>
          <w:p>
            <w:r>
              <w:rPr>
                <w:sz w:val="20"/>
                <w:szCs w:val="20"/>
              </w:rPr>
              <w:t xml:space="preserve">Orientations stratégiques</w:t>
            </w:r>
          </w:p>
        </w:tc>
      </w:tr>
    </w:tbl>
    <w:p>
      <w:pPr>
        <w:pStyle w:val="Heading2"/>
        <w:spacing w:after="120" w:before="280"/>
      </w:pPr>
      <w:r>
        <w:rPr>
          <w:b/>
          <w:bCs/>
          <w:color w:val="2E74B5"/>
          <w:sz w:val="24"/>
          <w:szCs w:val="24"/>
        </w:rPr>
        <w:t xml:space="preserve">28. </w:t>
      </w:r>
      <w:r>
        <w:rPr>
          <w:b/>
          <w:bCs/>
          <w:color w:val="222222"/>
          <w:sz w:val="24"/>
          <w:szCs w:val="24"/>
        </w:rPr>
        <w:t xml:space="preserve">Rôle du Médecin dans le suivi et le contrôle</w:t>
      </w:r>
    </w:p>
    <w:p>
      <w:pPr>
        <w:pStyle w:val="ListParagraph"/>
        <w:numPr>
          <w:ilvl w:val="0"/>
          <w:numId w:val="2"/>
        </w:numPr>
        <w:spacing w:after="60"/>
      </w:pPr>
      <w:r>
        <w:rPr>
          <w:sz w:val="21"/>
          <w:szCs w:val="21"/>
        </w:rPr>
        <w:t xml:space="preserve">Suivre les indicateurs de santé</w:t>
      </w:r>
    </w:p>
    <w:p>
      <w:pPr>
        <w:pStyle w:val="ListParagraph"/>
        <w:numPr>
          <w:ilvl w:val="0"/>
          <w:numId w:val="2"/>
        </w:numPr>
        <w:spacing w:after="60"/>
      </w:pPr>
      <w:r>
        <w:rPr>
          <w:sz w:val="21"/>
          <w:szCs w:val="21"/>
        </w:rPr>
        <w:t xml:space="preserve">Superviser les équipes</w:t>
      </w:r>
    </w:p>
    <w:p>
      <w:pPr>
        <w:pStyle w:val="ListParagraph"/>
        <w:numPr>
          <w:ilvl w:val="0"/>
          <w:numId w:val="2"/>
        </w:numPr>
        <w:spacing w:after="60"/>
      </w:pPr>
      <w:r>
        <w:rPr>
          <w:sz w:val="21"/>
          <w:szCs w:val="21"/>
        </w:rPr>
        <w:t xml:space="preserve">Analyser les données sanitaires</w:t>
      </w:r>
    </w:p>
    <w:p>
      <w:pPr>
        <w:pStyle w:val="ListParagraph"/>
        <w:numPr>
          <w:ilvl w:val="0"/>
          <w:numId w:val="2"/>
        </w:numPr>
        <w:spacing w:after="60"/>
      </w:pPr>
      <w:r>
        <w:rPr>
          <w:sz w:val="21"/>
          <w:szCs w:val="21"/>
        </w:rPr>
        <w:t xml:space="preserve">Proposer des actions correctives</w:t>
      </w:r>
    </w:p>
    <w:p>
      <w:pPr>
        <w:pStyle w:val="ListParagraph"/>
        <w:numPr>
          <w:ilvl w:val="0"/>
          <w:numId w:val="2"/>
        </w:numPr>
        <w:spacing w:after="60"/>
      </w:pPr>
      <w:r>
        <w:rPr>
          <w:sz w:val="21"/>
          <w:szCs w:val="21"/>
        </w:rPr>
        <w:t xml:space="preserve">Participer aux audits</w:t>
      </w:r>
    </w:p>
    <w:p>
      <w:pPr>
        <w:pStyle w:val="ListParagraph"/>
        <w:numPr>
          <w:ilvl w:val="0"/>
          <w:numId w:val="2"/>
        </w:numPr>
        <w:spacing w:after="60"/>
      </w:pPr>
      <w:r>
        <w:rPr>
          <w:sz w:val="21"/>
          <w:szCs w:val="21"/>
        </w:rPr>
        <w:t xml:space="preserve">Améliorer la qualité des soins</w:t>
      </w:r>
    </w:p>
    <w:p>
      <w:pPr>
        <w:pStyle w:val="ListParagraph"/>
        <w:numPr>
          <w:ilvl w:val="0"/>
          <w:numId w:val="2"/>
        </w:numPr>
        <w:spacing w:after="60"/>
      </w:pPr>
      <w:r>
        <w:rPr>
          <w:sz w:val="21"/>
          <w:szCs w:val="21"/>
        </w:rPr>
        <w:t xml:space="preserve">Assurer la sécurité des patients</w:t>
      </w:r>
    </w:p>
    <w:p>
      <w:pPr>
        <w:pStyle w:val="Heading1"/>
        <w:pBdr>
          <w:bottom w:val="single" w:color="1F3864" w:sz="6" w:space="4"/>
        </w:pBdr>
        <w:spacing w:after="200" w:before="400"/>
      </w:pPr>
      <w:r>
        <w:rPr>
          <w:b/>
          <w:bCs/>
          <w:color w:val="1F3864"/>
          <w:sz w:val="32"/>
          <w:szCs w:val="32"/>
        </w:rPr>
        <w:t xml:space="preserve">Législation sanitaire</w:t>
      </w:r>
    </w:p>
    <w:p>
      <w:pPr>
        <w:pStyle w:val="Heading2"/>
        <w:spacing w:after="120" w:before="280"/>
      </w:pPr>
      <w:r>
        <w:rPr>
          <w:b/>
          <w:bCs/>
          <w:color w:val="2E74B5"/>
          <w:sz w:val="24"/>
          <w:szCs w:val="24"/>
        </w:rPr>
        <w:t xml:space="preserve">29. </w:t>
      </w:r>
      <w:r>
        <w:rPr>
          <w:b/>
          <w:bCs/>
          <w:color w:val="222222"/>
          <w:sz w:val="24"/>
          <w:szCs w:val="24"/>
        </w:rPr>
        <w:t xml:space="preserve">Objectifs de la législation sanitaire</w:t>
      </w:r>
    </w:p>
    <w:p>
      <w:pPr>
        <w:pStyle w:val="ListParagraph"/>
        <w:numPr>
          <w:ilvl w:val="0"/>
          <w:numId w:val="2"/>
        </w:numPr>
        <w:spacing w:after="60"/>
      </w:pPr>
      <w:r>
        <w:rPr>
          <w:sz w:val="21"/>
          <w:szCs w:val="21"/>
        </w:rPr>
        <w:t xml:space="preserve">Protéger la santé de la population</w:t>
      </w:r>
    </w:p>
    <w:p>
      <w:pPr>
        <w:pStyle w:val="ListParagraph"/>
        <w:numPr>
          <w:ilvl w:val="0"/>
          <w:numId w:val="2"/>
        </w:numPr>
        <w:spacing w:after="60"/>
      </w:pPr>
      <w:r>
        <w:rPr>
          <w:sz w:val="21"/>
          <w:szCs w:val="21"/>
        </w:rPr>
        <w:t xml:space="preserve">Garantir des soins de qualité</w:t>
      </w:r>
    </w:p>
    <w:p>
      <w:pPr>
        <w:pStyle w:val="ListParagraph"/>
        <w:numPr>
          <w:ilvl w:val="0"/>
          <w:numId w:val="2"/>
        </w:numPr>
        <w:spacing w:after="60"/>
      </w:pPr>
      <w:r>
        <w:rPr>
          <w:sz w:val="21"/>
          <w:szCs w:val="21"/>
        </w:rPr>
        <w:t xml:space="preserve">Assurer la sécurité des patients</w:t>
      </w:r>
    </w:p>
    <w:p>
      <w:pPr>
        <w:pStyle w:val="ListParagraph"/>
        <w:numPr>
          <w:ilvl w:val="0"/>
          <w:numId w:val="2"/>
        </w:numPr>
        <w:spacing w:after="60"/>
      </w:pPr>
      <w:r>
        <w:rPr>
          <w:sz w:val="21"/>
          <w:szCs w:val="21"/>
        </w:rPr>
        <w:t xml:space="preserve">Réglementer l'exercice des professions de santé</w:t>
      </w:r>
    </w:p>
    <w:p>
      <w:pPr>
        <w:pStyle w:val="ListParagraph"/>
        <w:numPr>
          <w:ilvl w:val="0"/>
          <w:numId w:val="2"/>
        </w:numPr>
        <w:spacing w:after="60"/>
      </w:pPr>
      <w:r>
        <w:rPr>
          <w:sz w:val="21"/>
          <w:szCs w:val="21"/>
        </w:rPr>
        <w:t xml:space="preserve">Protéger les droits des usagers</w:t>
      </w:r>
    </w:p>
    <w:p>
      <w:pPr>
        <w:pStyle w:val="ListParagraph"/>
        <w:numPr>
          <w:ilvl w:val="0"/>
          <w:numId w:val="2"/>
        </w:numPr>
        <w:spacing w:after="60"/>
      </w:pPr>
      <w:r>
        <w:rPr>
          <w:sz w:val="21"/>
          <w:szCs w:val="21"/>
        </w:rPr>
        <w:t xml:space="preserve">Organiser les établissements de santé</w:t>
      </w:r>
    </w:p>
    <w:p>
      <w:pPr>
        <w:pStyle w:val="ListParagraph"/>
        <w:numPr>
          <w:ilvl w:val="0"/>
          <w:numId w:val="2"/>
        </w:numPr>
        <w:spacing w:after="60"/>
      </w:pPr>
      <w:r>
        <w:rPr>
          <w:sz w:val="21"/>
          <w:szCs w:val="21"/>
        </w:rPr>
        <w:t xml:space="preserve">Prévenir les conflits médico-légaux</w:t>
      </w:r>
    </w:p>
    <w:p>
      <w:pPr>
        <w:pStyle w:val="Heading2"/>
        <w:spacing w:after="120" w:before="280"/>
      </w:pPr>
      <w:r>
        <w:rPr>
          <w:b/>
          <w:bCs/>
          <w:color w:val="2E74B5"/>
          <w:sz w:val="24"/>
          <w:szCs w:val="24"/>
        </w:rPr>
        <w:t xml:space="preserve">30. </w:t>
      </w:r>
      <w:r>
        <w:rPr>
          <w:b/>
          <w:bCs/>
          <w:color w:val="222222"/>
          <w:sz w:val="24"/>
          <w:szCs w:val="24"/>
        </w:rPr>
        <w:t xml:space="preserve">Textes sources du droit de la santé</w:t>
      </w:r>
    </w:p>
    <w:p>
      <w:pPr>
        <w:spacing w:after="60" w:before="120"/>
      </w:pPr>
      <w:r>
        <w:rPr>
          <w:b/>
          <w:bCs/>
          <w:color w:val="1F3864"/>
          <w:sz w:val="21"/>
          <w:szCs w:val="21"/>
        </w:rPr>
        <w:t xml:space="preserve">Sources nationales :</w:t>
      </w:r>
    </w:p>
    <w:p>
      <w:pPr>
        <w:pStyle w:val="ListParagraph"/>
        <w:numPr>
          <w:ilvl w:val="0"/>
          <w:numId w:val="2"/>
        </w:numPr>
        <w:spacing w:after="60"/>
      </w:pPr>
      <w:r>
        <w:rPr>
          <w:sz w:val="21"/>
          <w:szCs w:val="21"/>
        </w:rPr>
        <w:t xml:space="preserve">La Constitution</w:t>
      </w:r>
    </w:p>
    <w:p>
      <w:pPr>
        <w:pStyle w:val="ListParagraph"/>
        <w:numPr>
          <w:ilvl w:val="0"/>
          <w:numId w:val="2"/>
        </w:numPr>
        <w:spacing w:after="60"/>
      </w:pPr>
      <w:r>
        <w:rPr>
          <w:sz w:val="21"/>
          <w:szCs w:val="21"/>
        </w:rPr>
        <w:t xml:space="preserve">Les lois</w:t>
      </w:r>
    </w:p>
    <w:p>
      <w:pPr>
        <w:pStyle w:val="ListParagraph"/>
        <w:numPr>
          <w:ilvl w:val="0"/>
          <w:numId w:val="2"/>
        </w:numPr>
        <w:spacing w:after="60"/>
      </w:pPr>
      <w:r>
        <w:rPr>
          <w:sz w:val="21"/>
          <w:szCs w:val="21"/>
        </w:rPr>
        <w:t xml:space="preserve">Les ordonnances</w:t>
      </w:r>
    </w:p>
    <w:p>
      <w:pPr>
        <w:pStyle w:val="ListParagraph"/>
        <w:numPr>
          <w:ilvl w:val="0"/>
          <w:numId w:val="2"/>
        </w:numPr>
        <w:spacing w:after="60"/>
      </w:pPr>
      <w:r>
        <w:rPr>
          <w:sz w:val="21"/>
          <w:szCs w:val="21"/>
        </w:rPr>
        <w:t xml:space="preserve">Les décrets</w:t>
      </w:r>
    </w:p>
    <w:p>
      <w:pPr>
        <w:pStyle w:val="ListParagraph"/>
        <w:numPr>
          <w:ilvl w:val="0"/>
          <w:numId w:val="2"/>
        </w:numPr>
        <w:spacing w:after="60"/>
      </w:pPr>
      <w:r>
        <w:rPr>
          <w:sz w:val="21"/>
          <w:szCs w:val="21"/>
        </w:rPr>
        <w:t xml:space="preserve">Les arrêtés</w:t>
      </w:r>
    </w:p>
    <w:p>
      <w:pPr>
        <w:pStyle w:val="ListParagraph"/>
        <w:numPr>
          <w:ilvl w:val="0"/>
          <w:numId w:val="2"/>
        </w:numPr>
        <w:spacing w:after="60"/>
      </w:pPr>
      <w:r>
        <w:rPr>
          <w:sz w:val="21"/>
          <w:szCs w:val="21"/>
        </w:rPr>
        <w:t xml:space="preserve">Les circulaires</w:t>
      </w:r>
    </w:p>
    <w:p>
      <w:pPr>
        <w:spacing w:after="60" w:before="120"/>
      </w:pPr>
      <w:r>
        <w:rPr>
          <w:b/>
          <w:bCs/>
          <w:color w:val="1F3864"/>
          <w:sz w:val="21"/>
          <w:szCs w:val="21"/>
        </w:rPr>
        <w:t xml:space="preserve">Sources internationales :</w:t>
      </w:r>
    </w:p>
    <w:p>
      <w:pPr>
        <w:pStyle w:val="ListParagraph"/>
        <w:numPr>
          <w:ilvl w:val="0"/>
          <w:numId w:val="2"/>
        </w:numPr>
        <w:spacing w:after="60"/>
      </w:pPr>
      <w:r>
        <w:rPr>
          <w:sz w:val="21"/>
          <w:szCs w:val="21"/>
        </w:rPr>
        <w:t xml:space="preserve">Les conventions internationales</w:t>
      </w:r>
    </w:p>
    <w:p>
      <w:pPr>
        <w:pStyle w:val="ListParagraph"/>
        <w:numPr>
          <w:ilvl w:val="0"/>
          <w:numId w:val="2"/>
        </w:numPr>
        <w:spacing w:after="60"/>
      </w:pPr>
      <w:r>
        <w:rPr>
          <w:sz w:val="21"/>
          <w:szCs w:val="21"/>
        </w:rPr>
        <w:t xml:space="preserve">Les règlements sanitaires internationaux</w:t>
      </w:r>
    </w:p>
    <w:p>
      <w:pPr>
        <w:pStyle w:val="ListParagraph"/>
        <w:numPr>
          <w:ilvl w:val="0"/>
          <w:numId w:val="2"/>
        </w:numPr>
        <w:spacing w:after="60"/>
      </w:pPr>
      <w:r>
        <w:rPr>
          <w:sz w:val="21"/>
          <w:szCs w:val="21"/>
        </w:rPr>
        <w:t xml:space="preserve">Les recommandations de l'OMS</w:t>
      </w:r>
    </w:p>
    <w:p>
      <w:pPr>
        <w:pStyle w:val="ListParagraph"/>
        <w:numPr>
          <w:ilvl w:val="0"/>
          <w:numId w:val="2"/>
        </w:numPr>
        <w:spacing w:after="60"/>
      </w:pPr>
      <w:r>
        <w:rPr>
          <w:sz w:val="21"/>
          <w:szCs w:val="21"/>
        </w:rPr>
        <w:t xml:space="preserve">Les traités internationaux ratifiés</w:t>
      </w:r>
    </w:p>
    <w:p>
      <w:pPr>
        <w:pStyle w:val="Heading2"/>
        <w:spacing w:after="120" w:before="280"/>
      </w:pPr>
      <w:r>
        <w:rPr>
          <w:b/>
          <w:bCs/>
          <w:color w:val="2E74B5"/>
          <w:sz w:val="24"/>
          <w:szCs w:val="24"/>
        </w:rPr>
        <w:t xml:space="preserve">31. </w:t>
      </w:r>
      <w:r>
        <w:rPr>
          <w:b/>
          <w:bCs/>
          <w:color w:val="222222"/>
          <w:sz w:val="24"/>
          <w:szCs w:val="24"/>
        </w:rPr>
        <w:t xml:space="preserve">Hiérarchie simplifiée des normes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Pr>
          <w:p>
            <w:r>
              <w:rPr>
                <w:b/>
                <w:bCs/>
                <w:color w:val="FFFFFF"/>
                <w:sz w:val="20"/>
                <w:szCs w:val="20"/>
              </w:rPr>
              <w:t xml:space="preserve">Rang</w:t>
            </w:r>
          </w:p>
        </w:tc>
        <w:tc>
          <w:tcPr>
            <w:tcW w:type="dxa" w:w="3000"/>
            <w:shd w:fill="1F3864" w:val="clear"/>
          </w:tcPr>
          <w:p>
            <w:r>
              <w:rPr>
                <w:b/>
                <w:bCs/>
                <w:color w:val="FFFFFF"/>
                <w:sz w:val="20"/>
                <w:szCs w:val="20"/>
              </w:rPr>
              <w:t xml:space="preserve">Acte juridique</w:t>
            </w:r>
          </w:p>
        </w:tc>
        <w:tc>
          <w:tcPr>
            <w:tcW w:type="dxa" w:w="3000"/>
            <w:shd w:fill="1F3864" w:val="clear"/>
          </w:tcPr>
          <w:p>
            <w:r>
              <w:rPr>
                <w:b/>
                <w:bCs/>
                <w:color w:val="FFFFFF"/>
                <w:sz w:val="20"/>
                <w:szCs w:val="20"/>
              </w:rPr>
              <w:t xml:space="preserve">Auteur</w:t>
            </w:r>
          </w:p>
        </w:tc>
      </w:tr>
      <w:tr>
        <w:tc>
          <w:tcPr>
            <w:tcW w:type="dxa" w:w="3000"/>
            <w:shd w:fill="F2F2F2" w:val="clear"/>
          </w:tcPr>
          <w:p>
            <w:r>
              <w:rPr>
                <w:sz w:val="20"/>
                <w:szCs w:val="20"/>
              </w:rPr>
              <w:t xml:space="preserve">1</w:t>
            </w:r>
          </w:p>
        </w:tc>
        <w:tc>
          <w:tcPr>
            <w:tcW w:type="dxa" w:w="3000"/>
            <w:shd w:fill="F2F2F2" w:val="clear"/>
          </w:tcPr>
          <w:p>
            <w:r>
              <w:rPr>
                <w:sz w:val="20"/>
                <w:szCs w:val="20"/>
              </w:rPr>
              <w:t xml:space="preserve">Constitution</w:t>
            </w:r>
          </w:p>
        </w:tc>
        <w:tc>
          <w:tcPr>
            <w:tcW w:type="dxa" w:w="3000"/>
            <w:shd w:fill="F2F2F2" w:val="clear"/>
          </w:tcPr>
          <w:p>
            <w:r>
              <w:rPr>
                <w:sz w:val="20"/>
                <w:szCs w:val="20"/>
              </w:rPr>
              <w:t xml:space="preserve">Peuple / pouvoir constituant</w:t>
            </w:r>
          </w:p>
        </w:tc>
      </w:tr>
      <w:tr>
        <w:tc>
          <w:tcPr>
            <w:tcW w:type="dxa" w:w="3000"/>
            <w:shd w:fill="FFFFFF" w:val="clear"/>
          </w:tcPr>
          <w:p>
            <w:r>
              <w:rPr>
                <w:sz w:val="20"/>
                <w:szCs w:val="20"/>
              </w:rPr>
              <w:t xml:space="preserve">2</w:t>
            </w:r>
          </w:p>
        </w:tc>
        <w:tc>
          <w:tcPr>
            <w:tcW w:type="dxa" w:w="3000"/>
            <w:shd w:fill="FFFFFF" w:val="clear"/>
          </w:tcPr>
          <w:p>
            <w:r>
              <w:rPr>
                <w:sz w:val="20"/>
                <w:szCs w:val="20"/>
              </w:rPr>
              <w:t xml:space="preserve">Loi</w:t>
            </w:r>
          </w:p>
        </w:tc>
        <w:tc>
          <w:tcPr>
            <w:tcW w:type="dxa" w:w="3000"/>
            <w:shd w:fill="FFFFFF" w:val="clear"/>
          </w:tcPr>
          <w:p>
            <w:r>
              <w:rPr>
                <w:sz w:val="20"/>
                <w:szCs w:val="20"/>
              </w:rPr>
              <w:t xml:space="preserve">Parlement</w:t>
            </w:r>
          </w:p>
        </w:tc>
      </w:tr>
      <w:tr>
        <w:tc>
          <w:tcPr>
            <w:tcW w:type="dxa" w:w="3000"/>
            <w:shd w:fill="F2F2F2" w:val="clear"/>
          </w:tcPr>
          <w:p>
            <w:r>
              <w:rPr>
                <w:sz w:val="20"/>
                <w:szCs w:val="20"/>
              </w:rPr>
              <w:t xml:space="preserve">3</w:t>
            </w:r>
          </w:p>
        </w:tc>
        <w:tc>
          <w:tcPr>
            <w:tcW w:type="dxa" w:w="3000"/>
            <w:shd w:fill="F2F2F2" w:val="clear"/>
          </w:tcPr>
          <w:p>
            <w:r>
              <w:rPr>
                <w:sz w:val="20"/>
                <w:szCs w:val="20"/>
              </w:rPr>
              <w:t xml:space="preserve">Ordonnance (dans les conditions prévues par la Constitution)</w:t>
            </w:r>
          </w:p>
        </w:tc>
        <w:tc>
          <w:tcPr>
            <w:tcW w:type="dxa" w:w="3000"/>
            <w:shd w:fill="F2F2F2" w:val="clear"/>
          </w:tcPr>
          <w:p>
            <w:r>
              <w:rPr>
                <w:sz w:val="20"/>
                <w:szCs w:val="20"/>
              </w:rPr>
              <w:t xml:space="preserve">Président de la République ou Gouvernement</w:t>
            </w:r>
          </w:p>
        </w:tc>
      </w:tr>
      <w:tr>
        <w:tc>
          <w:tcPr>
            <w:tcW w:type="dxa" w:w="3000"/>
            <w:shd w:fill="FFFFFF" w:val="clear"/>
          </w:tcPr>
          <w:p>
            <w:r>
              <w:rPr>
                <w:sz w:val="20"/>
                <w:szCs w:val="20"/>
              </w:rPr>
              <w:t xml:space="preserve">4</w:t>
            </w:r>
          </w:p>
        </w:tc>
        <w:tc>
          <w:tcPr>
            <w:tcW w:type="dxa" w:w="3000"/>
            <w:shd w:fill="FFFFFF" w:val="clear"/>
          </w:tcPr>
          <w:p>
            <w:r>
              <w:rPr>
                <w:sz w:val="20"/>
                <w:szCs w:val="20"/>
              </w:rPr>
              <w:t xml:space="preserve">Décret</w:t>
            </w:r>
          </w:p>
        </w:tc>
        <w:tc>
          <w:tcPr>
            <w:tcW w:type="dxa" w:w="3000"/>
            <w:shd w:fill="FFFFFF" w:val="clear"/>
          </w:tcPr>
          <w:p>
            <w:r>
              <w:rPr>
                <w:sz w:val="20"/>
                <w:szCs w:val="20"/>
              </w:rPr>
              <w:t xml:space="preserve">Président de la République ou Premier ministre</w:t>
            </w:r>
          </w:p>
        </w:tc>
      </w:tr>
      <w:tr>
        <w:tc>
          <w:tcPr>
            <w:tcW w:type="dxa" w:w="3000"/>
            <w:shd w:fill="F2F2F2" w:val="clear"/>
          </w:tcPr>
          <w:p>
            <w:r>
              <w:rPr>
                <w:sz w:val="20"/>
                <w:szCs w:val="20"/>
              </w:rPr>
              <w:t xml:space="preserve">5</w:t>
            </w:r>
          </w:p>
        </w:tc>
        <w:tc>
          <w:tcPr>
            <w:tcW w:type="dxa" w:w="3000"/>
            <w:shd w:fill="F2F2F2" w:val="clear"/>
          </w:tcPr>
          <w:p>
            <w:r>
              <w:rPr>
                <w:sz w:val="20"/>
                <w:szCs w:val="20"/>
              </w:rPr>
              <w:t xml:space="preserve">Arrêté</w:t>
            </w:r>
          </w:p>
        </w:tc>
        <w:tc>
          <w:tcPr>
            <w:tcW w:type="dxa" w:w="3000"/>
            <w:shd w:fill="F2F2F2" w:val="clear"/>
          </w:tcPr>
          <w:p>
            <w:r>
              <w:rPr>
                <w:sz w:val="20"/>
                <w:szCs w:val="20"/>
              </w:rPr>
              <w:t xml:space="preserve">Ministre, Gouverneur, Préfet, Maire, etc.</w:t>
            </w:r>
          </w:p>
        </w:tc>
      </w:tr>
      <w:tr>
        <w:tc>
          <w:tcPr>
            <w:tcW w:type="dxa" w:w="3000"/>
            <w:shd w:fill="FFFFFF" w:val="clear"/>
          </w:tcPr>
          <w:p>
            <w:r>
              <w:rPr>
                <w:sz w:val="20"/>
                <w:szCs w:val="20"/>
              </w:rPr>
              <w:t xml:space="preserve">6</w:t>
            </w:r>
          </w:p>
        </w:tc>
        <w:tc>
          <w:tcPr>
            <w:tcW w:type="dxa" w:w="3000"/>
            <w:shd w:fill="FFFFFF" w:val="clear"/>
          </w:tcPr>
          <w:p>
            <w:r>
              <w:rPr>
                <w:sz w:val="20"/>
                <w:szCs w:val="20"/>
              </w:rPr>
              <w:t xml:space="preserve">Circulaire</w:t>
            </w:r>
          </w:p>
        </w:tc>
        <w:tc>
          <w:tcPr>
            <w:tcW w:type="dxa" w:w="3000"/>
            <w:shd w:fill="FFFFFF" w:val="clear"/>
          </w:tcPr>
          <w:p>
            <w:r>
              <w:rPr>
                <w:sz w:val="20"/>
                <w:szCs w:val="20"/>
              </w:rPr>
              <w:t xml:space="preserve">Autorité administrative</w:t>
            </w:r>
          </w:p>
        </w:tc>
      </w:tr>
    </w:tbl>
    <w:p>
      <w:pPr>
        <w:pStyle w:val="Heading2"/>
        <w:spacing w:after="120" w:before="280"/>
      </w:pPr>
      <w:r>
        <w:rPr>
          <w:b/>
          <w:bCs/>
          <w:color w:val="2E74B5"/>
          <w:sz w:val="24"/>
          <w:szCs w:val="24"/>
        </w:rPr>
        <w:t xml:space="preserve">32. </w:t>
      </w:r>
      <w:r>
        <w:rPr>
          <w:b/>
          <w:bCs/>
          <w:color w:val="222222"/>
          <w:sz w:val="24"/>
          <w:szCs w:val="24"/>
        </w:rPr>
        <w:t xml:space="preserve">Définitions</w:t>
      </w:r>
    </w:p>
    <w:p>
      <w:pPr>
        <w:pStyle w:val="ListParagraph"/>
        <w:numPr>
          <w:ilvl w:val="0"/>
          <w:numId w:val="2"/>
        </w:numPr>
        <w:spacing w:after="60"/>
      </w:pPr>
      <w:r>
        <w:rPr>
          <w:sz w:val="21"/>
          <w:szCs w:val="21"/>
        </w:rPr>
        <w:t xml:space="preserve">Conventions internationales : accords juridiques conclus entre deux ou plusieurs États (ou organisations internationales) pour établir des règles communes ; elles créent des obligations légales pour les signataires (ex. : Convention-cadre de l'OMS pour la lutte antitabac).</w:t>
      </w:r>
    </w:p>
    <w:p>
      <w:pPr>
        <w:pStyle w:val="ListParagraph"/>
        <w:numPr>
          <w:ilvl w:val="0"/>
          <w:numId w:val="2"/>
        </w:numPr>
        <w:spacing w:after="60"/>
      </w:pPr>
      <w:r>
        <w:rPr>
          <w:sz w:val="21"/>
          <w:szCs w:val="21"/>
        </w:rPr>
        <w:t xml:space="preserve">Décret : décision réglementaire prise par le Président de la République ou le Premier ministre pour appliquer les lois ou organiser le fonctionnement des services publics ; ne peut être contraire à la loi.</w:t>
      </w:r>
    </w:p>
    <w:p>
      <w:pPr>
        <w:pStyle w:val="ListParagraph"/>
        <w:numPr>
          <w:ilvl w:val="0"/>
          <w:numId w:val="2"/>
        </w:numPr>
        <w:spacing w:after="60"/>
      </w:pPr>
      <w:r>
        <w:rPr>
          <w:sz w:val="21"/>
          <w:szCs w:val="21"/>
        </w:rPr>
        <w:t xml:space="preserve">Arrêté : décision administrative prise par une autorité compétente (ministre, gouverneur, préfet, maire, chef de service) dans le cadre de ses attributions ; portée nationale ou locale selon l'autorité qui le signe.</w:t>
      </w:r>
    </w:p>
    <w:p>
      <w:pPr>
        <w:pStyle w:val="ListParagraph"/>
        <w:numPr>
          <w:ilvl w:val="0"/>
          <w:numId w:val="2"/>
        </w:numPr>
        <w:spacing w:after="60"/>
      </w:pPr>
      <w:r>
        <w:rPr>
          <w:sz w:val="21"/>
          <w:szCs w:val="21"/>
        </w:rPr>
        <w:t xml:space="preserve">Règlement sanitaire international (RSI) : instrument juridique international adopté par les États membres de l'OMS pour prévenir, détecter et répondre à la propagation internationale des maladies, tout en limitant les perturbations inutiles des échanges et voyages internationaux.</w:t>
      </w:r>
    </w:p>
    <w:p>
      <w:pPr>
        <w:pStyle w:val="ListParagraph"/>
        <w:numPr>
          <w:ilvl w:val="0"/>
          <w:numId w:val="2"/>
        </w:numPr>
        <w:spacing w:after="60"/>
      </w:pPr>
      <w:r>
        <w:rPr>
          <w:sz w:val="21"/>
          <w:szCs w:val="21"/>
        </w:rPr>
        <w:t xml:space="preserve">Recommandations de l'OMS : orientations techniques et scientifiques élaborées par l'OMS pour guider les politiques et pratiques de santé publique des États ; non juridiquement contraignantes, mais fondées sur les meilleures preuves scientifiques disponibles.</w:t>
      </w:r>
    </w:p>
    <w:p>
      <w:pPr>
        <w:pStyle w:val="Heading2"/>
        <w:spacing w:after="120" w:before="280"/>
      </w:pPr>
      <w:r>
        <w:rPr>
          <w:b/>
          <w:bCs/>
          <w:color w:val="2E74B5"/>
          <w:sz w:val="24"/>
          <w:szCs w:val="24"/>
        </w:rPr>
        <w:t xml:space="preserve">33. </w:t>
      </w:r>
      <w:r>
        <w:rPr>
          <w:b/>
          <w:bCs/>
          <w:color w:val="222222"/>
          <w:sz w:val="24"/>
          <w:szCs w:val="24"/>
        </w:rPr>
        <w:t xml:space="preserve">Obligations du Médecin dans le cadre de la législation sanitaire</w:t>
      </w:r>
    </w:p>
    <w:p>
      <w:pPr>
        <w:pStyle w:val="ListParagraph"/>
        <w:numPr>
          <w:ilvl w:val="0"/>
          <w:numId w:val="2"/>
        </w:numPr>
        <w:spacing w:after="60"/>
      </w:pPr>
      <w:r>
        <w:rPr>
          <w:sz w:val="21"/>
          <w:szCs w:val="21"/>
        </w:rPr>
        <w:t xml:space="preserve">Respecter le secret professionnel</w:t>
      </w:r>
    </w:p>
    <w:p>
      <w:pPr>
        <w:pStyle w:val="ListParagraph"/>
        <w:numPr>
          <w:ilvl w:val="0"/>
          <w:numId w:val="2"/>
        </w:numPr>
        <w:spacing w:after="60"/>
      </w:pPr>
      <w:r>
        <w:rPr>
          <w:sz w:val="21"/>
          <w:szCs w:val="21"/>
        </w:rPr>
        <w:t xml:space="preserve">Fournir des soins consciencieux</w:t>
      </w:r>
    </w:p>
    <w:p>
      <w:pPr>
        <w:pStyle w:val="ListParagraph"/>
        <w:numPr>
          <w:ilvl w:val="0"/>
          <w:numId w:val="2"/>
        </w:numPr>
        <w:spacing w:after="60"/>
      </w:pPr>
      <w:r>
        <w:rPr>
          <w:sz w:val="21"/>
          <w:szCs w:val="21"/>
        </w:rPr>
        <w:t xml:space="preserve">Respecter la dignité humaine</w:t>
      </w:r>
    </w:p>
    <w:p>
      <w:pPr>
        <w:pStyle w:val="ListParagraph"/>
        <w:numPr>
          <w:ilvl w:val="0"/>
          <w:numId w:val="2"/>
        </w:numPr>
        <w:spacing w:after="60"/>
      </w:pPr>
      <w:r>
        <w:rPr>
          <w:sz w:val="21"/>
          <w:szCs w:val="21"/>
        </w:rPr>
        <w:t xml:space="preserve">Informer le patient</w:t>
      </w:r>
    </w:p>
    <w:p>
      <w:pPr>
        <w:pStyle w:val="ListParagraph"/>
        <w:numPr>
          <w:ilvl w:val="0"/>
          <w:numId w:val="2"/>
        </w:numPr>
        <w:spacing w:after="60"/>
      </w:pPr>
      <w:r>
        <w:rPr>
          <w:sz w:val="21"/>
          <w:szCs w:val="21"/>
        </w:rPr>
        <w:t xml:space="preserve">Obtenir le consentement libre et éclairé</w:t>
      </w:r>
    </w:p>
    <w:p>
      <w:pPr>
        <w:pStyle w:val="ListParagraph"/>
        <w:numPr>
          <w:ilvl w:val="0"/>
          <w:numId w:val="2"/>
        </w:numPr>
        <w:spacing w:after="60"/>
      </w:pPr>
      <w:r>
        <w:rPr>
          <w:sz w:val="21"/>
          <w:szCs w:val="21"/>
        </w:rPr>
        <w:t xml:space="preserve">Tenir correctement le dossier médical</w:t>
      </w:r>
    </w:p>
    <w:p>
      <w:pPr>
        <w:pStyle w:val="ListParagraph"/>
        <w:numPr>
          <w:ilvl w:val="0"/>
          <w:numId w:val="2"/>
        </w:numPr>
        <w:spacing w:after="60"/>
      </w:pPr>
      <w:r>
        <w:rPr>
          <w:sz w:val="21"/>
          <w:szCs w:val="21"/>
        </w:rPr>
        <w:t xml:space="preserve">Assurer la continuité des soins</w:t>
      </w:r>
    </w:p>
    <w:p>
      <w:pPr>
        <w:pStyle w:val="Heading2"/>
        <w:spacing w:after="120" w:before="280"/>
      </w:pPr>
      <w:r>
        <w:rPr>
          <w:b/>
          <w:bCs/>
          <w:color w:val="2E74B5"/>
          <w:sz w:val="24"/>
          <w:szCs w:val="24"/>
        </w:rPr>
        <w:t xml:space="preserve">34. </w:t>
      </w:r>
      <w:r>
        <w:rPr>
          <w:b/>
          <w:bCs/>
          <w:color w:val="222222"/>
          <w:sz w:val="24"/>
          <w:szCs w:val="24"/>
        </w:rPr>
        <w:t xml:space="preserve">Droit du patient</w:t>
      </w:r>
    </w:p>
    <w:p>
      <w:pPr>
        <w:pStyle w:val="ListParagraph"/>
        <w:numPr>
          <w:ilvl w:val="0"/>
          <w:numId w:val="2"/>
        </w:numPr>
        <w:spacing w:after="60"/>
      </w:pPr>
      <w:r>
        <w:rPr>
          <w:sz w:val="21"/>
          <w:szCs w:val="21"/>
        </w:rPr>
        <w:t xml:space="preserve">Droit à la santé</w:t>
      </w:r>
    </w:p>
    <w:p>
      <w:pPr>
        <w:pStyle w:val="ListParagraph"/>
        <w:numPr>
          <w:ilvl w:val="0"/>
          <w:numId w:val="2"/>
        </w:numPr>
        <w:spacing w:after="60"/>
      </w:pPr>
      <w:r>
        <w:rPr>
          <w:sz w:val="21"/>
          <w:szCs w:val="21"/>
        </w:rPr>
        <w:t xml:space="preserve">Droit à l'information</w:t>
      </w:r>
    </w:p>
    <w:p>
      <w:pPr>
        <w:pStyle w:val="ListParagraph"/>
        <w:numPr>
          <w:ilvl w:val="0"/>
          <w:numId w:val="2"/>
        </w:numPr>
        <w:spacing w:after="60"/>
      </w:pPr>
      <w:r>
        <w:rPr>
          <w:sz w:val="21"/>
          <w:szCs w:val="21"/>
        </w:rPr>
        <w:t xml:space="preserve">Droit au consentement libre et éclairé</w:t>
      </w:r>
    </w:p>
    <w:p>
      <w:pPr>
        <w:pStyle w:val="ListParagraph"/>
        <w:numPr>
          <w:ilvl w:val="0"/>
          <w:numId w:val="2"/>
        </w:numPr>
        <w:spacing w:after="60"/>
      </w:pPr>
      <w:r>
        <w:rPr>
          <w:sz w:val="21"/>
          <w:szCs w:val="21"/>
        </w:rPr>
        <w:t xml:space="preserve">Droit au refus de soins (dans les limites prévues par la loi)</w:t>
      </w:r>
    </w:p>
    <w:p>
      <w:pPr>
        <w:pStyle w:val="ListParagraph"/>
        <w:numPr>
          <w:ilvl w:val="0"/>
          <w:numId w:val="2"/>
        </w:numPr>
        <w:spacing w:after="60"/>
      </w:pPr>
      <w:r>
        <w:rPr>
          <w:sz w:val="21"/>
          <w:szCs w:val="21"/>
        </w:rPr>
        <w:t xml:space="preserve">Droit à la confidentialité</w:t>
      </w:r>
    </w:p>
    <w:p>
      <w:pPr>
        <w:pStyle w:val="ListParagraph"/>
        <w:numPr>
          <w:ilvl w:val="0"/>
          <w:numId w:val="2"/>
        </w:numPr>
        <w:spacing w:after="60"/>
      </w:pPr>
      <w:r>
        <w:rPr>
          <w:sz w:val="21"/>
          <w:szCs w:val="21"/>
        </w:rPr>
        <w:t xml:space="preserve">Droit à la dignité</w:t>
      </w:r>
    </w:p>
    <w:p>
      <w:pPr>
        <w:pStyle w:val="ListParagraph"/>
        <w:numPr>
          <w:ilvl w:val="0"/>
          <w:numId w:val="2"/>
        </w:numPr>
        <w:spacing w:after="60"/>
      </w:pPr>
      <w:r>
        <w:rPr>
          <w:sz w:val="21"/>
          <w:szCs w:val="21"/>
        </w:rPr>
        <w:t xml:space="preserve">Droit à la non-discrimination</w:t>
      </w:r>
    </w:p>
    <w:p>
      <w:pPr>
        <w:pStyle w:val="ListParagraph"/>
        <w:numPr>
          <w:ilvl w:val="0"/>
          <w:numId w:val="2"/>
        </w:numPr>
        <w:spacing w:after="60"/>
      </w:pPr>
      <w:r>
        <w:rPr>
          <w:sz w:val="21"/>
          <w:szCs w:val="21"/>
        </w:rPr>
        <w:t xml:space="preserve">Droit d'accès à son dossier médical, selon la législation applicable</w:t>
      </w:r>
    </w:p>
    <w:p>
      <w:pPr>
        <w:spacing w:before="300"/>
        <w:jc w:val="center"/>
      </w:pPr>
      <w:r>
        <w:rPr>
          <w:i/>
          <w:iCs/>
          <w:color w:val="595959"/>
          <w:sz w:val="18"/>
          <w:szCs w:val="18"/>
        </w:rPr>
        <w:t xml:space="preserve">— Fin du document —</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2026-08-15T13:06:26.217Z</dcterms:created>
  <dcterms:modified xsi:type="dcterms:W3CDTF">2026-08-15T13:06:26.228Z</dcterms:modified>
</cp:coreProperties>
</file>

<file path=docProps/custom.xml><?xml version="1.0" encoding="utf-8"?>
<Properties xmlns="http://schemas.openxmlformats.org/officeDocument/2006/custom-properties" xmlns:vt="http://schemas.openxmlformats.org/officeDocument/2006/docPropsVTypes"/>
</file>