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nuplex-80-advanced-control-complex-acc"/>
    <w:p>
      <w:pPr>
        <w:pStyle w:val="Heading1"/>
      </w:pPr>
      <w:r>
        <w:t xml:space="preserve">Nuplex 80+ Advanced Control Complex (ACC)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Nuplex 80+ is the</w:t>
      </w:r>
      <w:r>
        <w:t xml:space="preserve"> </w:t>
      </w:r>
      <w:r>
        <w:rPr>
          <w:b/>
          <w:bCs/>
        </w:rPr>
        <w:t xml:space="preserve">Advanced Control Complex</w:t>
      </w:r>
      <w:r>
        <w:t xml:space="preserve"> </w:t>
      </w:r>
      <w:r>
        <w:t xml:space="preserve">(ACC) developed by Combustion Engineering (later ABB-CE, then Westinghouse) for the</w:t>
      </w:r>
      <w:r>
        <w:t xml:space="preserve"> </w:t>
      </w:r>
      <w:r>
        <w:rPr>
          <w:b/>
          <w:bCs/>
        </w:rPr>
        <w:t xml:space="preserve">System 80+</w:t>
      </w:r>
      <w:r>
        <w:t xml:space="preserve"> </w:t>
      </w:r>
      <w:r>
        <w:t xml:space="preserve">standard PWR design, which received NRC final design approval in 1994 and design certification in 1997 (10 CFR Part 52, Appendix B). It was a milestone in advanced-control-room design: a fully integrated, computer-based control room with workstation-style operator consoles, a Critical Function Monitoring System, the</w:t>
      </w:r>
      <w:r>
        <w:t xml:space="preserve"> </w:t>
      </w:r>
      <w:r>
        <w:rPr>
          <w:b/>
          <w:bCs/>
        </w:rPr>
        <w:t xml:space="preserve">Discrete Indication and Alarm System (DIAS)</w:t>
      </w:r>
      <w:r>
        <w:t xml:space="preserve">, the</w:t>
      </w:r>
      <w:r>
        <w:t xml:space="preserve"> </w:t>
      </w:r>
      <w:r>
        <w:rPr>
          <w:b/>
          <w:bCs/>
        </w:rPr>
        <w:t xml:space="preserve">Data Processing System (DPS)</w:t>
      </w:r>
      <w:r>
        <w:t xml:space="preserve"> </w:t>
      </w:r>
      <w:r>
        <w:t xml:space="preserve">for non-safety, and a separate Class 1E plant-protection system. The architecture and HFE concepts of Nuplex 80+ heavily influenced subsequent Westinghouse / KEPCO designs, including APR1400 (whose MMIS lineage descends from System 80+ via OPR-1000).</w:t>
      </w:r>
    </w:p>
    <w:bookmarkEnd w:id="9"/>
    <w:bookmarkStart w:id="10" w:name="public-sources"/>
    <w:p>
      <w:pPr>
        <w:pStyle w:val="Heading2"/>
      </w:pPr>
      <w:r>
        <w:t xml:space="preserve">Public 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NRC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CESSAR-DC</w:t>
            </w:r>
            <w:r>
              <w:t xml:space="preserve"> </w:t>
            </w:r>
            <w:r>
              <w:t xml:space="preserve">(Combustion Engineering Standard Safety Analysis Report — Design Certification) for System 80+. Public Tier 2 chapters on ADAMS.</w:t>
            </w:r>
            <w:r>
              <w:t xml:space="preserve"> </w:t>
            </w:r>
            <w:r>
              <w:rPr>
                <w:b/>
                <w:bCs/>
              </w:rPr>
              <w:t xml:space="preserve">Chapter 7</w:t>
            </w:r>
            <w:r>
              <w:t xml:space="preserve"> </w:t>
            </w:r>
            <w:r>
              <w:t xml:space="preserve">is the I&amp;C / Nuplex 80+ chapter;</w:t>
            </w:r>
            <w:r>
              <w:t xml:space="preserve"> </w:t>
            </w:r>
            <w:r>
              <w:rPr>
                <w:b/>
                <w:bCs/>
              </w:rPr>
              <w:t xml:space="preserve">Chapter 18</w:t>
            </w:r>
            <w:r>
              <w:t xml:space="preserve"> </w:t>
            </w:r>
            <w:r>
              <w:t xml:space="preserve">is HFE</w:t>
            </w:r>
          </w:p>
        </w:tc>
        <w:tc>
          <w:tcPr/>
          <w:p>
            <w:pPr>
              <w:pStyle w:val="Compact"/>
            </w:pPr>
            <w:r>
              <w:t xml:space="preserve">NRC ADAMS, CESSAR-DC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NRC</w:t>
            </w:r>
          </w:p>
        </w:tc>
        <w:tc>
          <w:tcPr/>
          <w:p>
            <w:pPr>
              <w:pStyle w:val="Compact"/>
            </w:pPr>
            <w:r>
              <w:t xml:space="preserve">System 80+ Final Design Approval (FDA) and Design Certification rulemaking record</w:t>
            </w:r>
          </w:p>
        </w:tc>
        <w:tc>
          <w:tcPr/>
          <w:p>
            <w:pPr>
              <w:pStyle w:val="Compact"/>
            </w:pPr>
            <w:r>
              <w:t xml:space="preserve">NRC ADAMS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OECD/NEA</w:t>
            </w:r>
          </w:p>
        </w:tc>
        <w:tc>
          <w:tcPr/>
          <w:p>
            <w:pPr>
              <w:pStyle w:val="Compact"/>
            </w:pPr>
            <w:r>
              <w:t xml:space="preserve">Reports on advanced control rooms; System 80+ is a recurring case study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oecd-nea.org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Conference papers</w:t>
            </w:r>
          </w:p>
        </w:tc>
        <w:tc>
          <w:tcPr/>
          <w:p>
            <w:pPr>
              <w:pStyle w:val="Compact"/>
            </w:pPr>
            <w:r>
              <w:t xml:space="preserve">NPIC&amp;HMIT and ANS Annual proceedings 1990s–2000s on System 80+</w:t>
            </w:r>
          </w:p>
        </w:tc>
        <w:tc>
          <w:tcPr/>
          <w:p>
            <w:pPr>
              <w:pStyle w:val="Compact"/>
            </w:pPr>
            <w:r>
              <w:t xml:space="preserve">IEEE Xplore, OSTI.gov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KEPCO / KHNP</w:t>
            </w:r>
          </w:p>
        </w:tc>
        <w:tc>
          <w:tcPr/>
          <w:p>
            <w:pPr>
              <w:pStyle w:val="Compact"/>
            </w:pPr>
            <w:r>
              <w:t xml:space="preserve">APR1400 public documentation (MMIS heritage traces to Nuplex 80+)</w:t>
            </w:r>
          </w:p>
        </w:tc>
        <w:tc>
          <w:tcPr/>
          <w:p>
            <w:pPr>
              <w:pStyle w:val="Compact"/>
            </w:pPr>
            <w:r>
              <w:t xml:space="preserve">NRC ADAMS APR1400 DCD</w:t>
            </w:r>
          </w:p>
        </w:tc>
      </w:tr>
    </w:tbl>
    <w:bookmarkEnd w:id="10"/>
    <w:bookmarkStart w:id="11" w:name="X927a6365eb098e1b960c3edbcada81713ea4e87"/>
    <w:p>
      <w:pPr>
        <w:pStyle w:val="Heading2"/>
      </w:pPr>
      <w:r>
        <w:t xml:space="preserve">Architectural concepts described in public material</w:t>
      </w:r>
    </w:p>
    <w:p>
      <w:pPr>
        <w:pStyle w:val="FirstParagraph"/>
      </w:pPr>
      <w:r>
        <w:t xml:space="preserve">The Tier 2 chapters of CESSAR-DC describe these openly.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Plant Protection System (PPS)</w:t>
      </w:r>
      <w:r>
        <w:t xml:space="preserve"> </w:t>
      </w:r>
      <w:r>
        <w:t xml:space="preserve">— Class 1E, four channels, 2-of-4 coincidence, separate from non-1E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Engineered Safety Features Component Control System (ESF-CCS)</w:t>
      </w:r>
      <w:r>
        <w:t xml:space="preserve"> </w:t>
      </w:r>
      <w:r>
        <w:t xml:space="preserve">— the actuation side of the safety architecture (where ECCS actuation logic lives in System 80+).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Processing System (DPS)</w:t>
      </w:r>
      <w:r>
        <w:t xml:space="preserve"> </w:t>
      </w:r>
      <w:r>
        <w:t xml:space="preserve">— non-safety, integrates plant data for the operator workstations.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Discrete Indication and Alarm System (DIAS)</w:t>
      </w:r>
      <w:r>
        <w:t xml:space="preserve"> </w:t>
      </w:r>
      <w:r>
        <w:t xml:space="preserve">— diverse, simpler indication path independent of the DPS, providing a backup for safety-critical indication and alarms.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Function Monitoring System (CFMS)</w:t>
      </w:r>
      <w:r>
        <w:t xml:space="preserve"> </w:t>
      </w:r>
      <w:r>
        <w:t xml:space="preserve">— operator-aid that tracks the safety functions (reactivity control, RCS inventory/pressure, core heat removal, RCS heat removal, containment integrity, vital auxiliaries).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Operator workstations and Compact Workstation Panel (CWP)</w:t>
      </w:r>
      <w:r>
        <w:t xml:space="preserve"> </w:t>
      </w:r>
      <w:r>
        <w:t xml:space="preserve">— soft controls plus a small set of dedicated hard controls for the most safety-critical actions.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Strong functional separation</w:t>
      </w:r>
      <w:r>
        <w:t xml:space="preserve"> </w:t>
      </w:r>
      <w:r>
        <w:t xml:space="preserve">between safety and non-safety, with hardware-enforced isolation across the boundary.</w:t>
      </w:r>
    </w:p>
    <w:bookmarkEnd w:id="11"/>
    <w:bookmarkStart w:id="12" w:name="information-not-publicly-available"/>
    <w:p>
      <w:pPr>
        <w:pStyle w:val="Heading2"/>
      </w:pPr>
      <w:r>
        <w:t xml:space="preserve">Information not publicly available</w:t>
      </w:r>
    </w:p>
    <w:p>
      <w:pPr>
        <w:pStyle w:val="Compact"/>
        <w:numPr>
          <w:ilvl w:val="0"/>
          <w:numId w:val="1002"/>
        </w:numPr>
      </w:pPr>
      <w:r>
        <w:t xml:space="preserve">Application source / control logic / function-block libraries for any specific implementation.</w:t>
      </w:r>
    </w:p>
    <w:p>
      <w:pPr>
        <w:pStyle w:val="Compact"/>
        <w:numPr>
          <w:ilvl w:val="0"/>
          <w:numId w:val="1002"/>
        </w:numPr>
      </w:pPr>
      <w:r>
        <w:t xml:space="preserve">Proprietary "Tier 1" portions of the design certification.</w:t>
      </w:r>
    </w:p>
    <w:p>
      <w:pPr>
        <w:pStyle w:val="Compact"/>
        <w:numPr>
          <w:ilvl w:val="0"/>
          <w:numId w:val="1002"/>
        </w:numPr>
      </w:pPr>
      <w:r>
        <w:t xml:space="preserve">Detailed HFE V&amp;V data.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2026-05-08T07:32:14Z</dcterms:created>
  <dcterms:modified xsi:type="dcterms:W3CDTF">2026-05-08T07:32:14Z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