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hutdown-systems"/>
    <w:p>
      <w:pPr>
        <w:pStyle w:val="Heading1"/>
      </w:pPr>
      <w:r>
        <w:t xml:space="preserve">Shutdown Systems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"Shutdown system" is a</w:t>
      </w:r>
      <w:r>
        <w:t xml:space="preserve"> </w:t>
      </w:r>
      <w:r>
        <w:rPr>
          <w:b/>
          <w:bCs/>
        </w:rPr>
        <w:t xml:space="preserve">functional name</w:t>
      </w:r>
      <w:r>
        <w:t xml:space="preserve"> </w:t>
      </w:r>
      <w:r>
        <w:t xml:space="preserve">for the system(s) that bring the reactor to subcritical and keep it there on demand. Architecture and naming differ by reactor type: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PWR / BWR (LWR):</w:t>
      </w:r>
      <w:r>
        <w:t xml:space="preserve"> </w:t>
      </w:r>
      <w:r>
        <w:t xml:space="preserve">there is normally one Reactor Protection System (RPS) that drives a single set of control rods, plus a diverse means (e.g. ATWS Mitigation System Actuation Circuitry — AMSAC in the US — or boron injection) for the rare scenario where the RPS fails to scram.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CANDU / PHWR:</w:t>
      </w:r>
      <w:r>
        <w:t xml:space="preserve"> </w:t>
      </w:r>
      <w:r>
        <w:t xml:space="preserve">there are</w:t>
      </w:r>
      <w:r>
        <w:t xml:space="preserve"> </w:t>
      </w:r>
      <w:r>
        <w:rPr>
          <w:b/>
          <w:bCs/>
        </w:rPr>
        <w:t xml:space="preserve">two physically and functionally diverse shutdown systems</w:t>
      </w:r>
      <w:r>
        <w:t xml:space="preserve">:</w:t>
      </w:r>
      <w:r>
        <w:t xml:space="preserve"> </w:t>
      </w:r>
      <w:r>
        <w:rPr>
          <w:b/>
          <w:bCs/>
        </w:rPr>
        <w:t xml:space="preserve">SDS1</w:t>
      </w:r>
      <w:r>
        <w:t xml:space="preserve"> </w:t>
      </w:r>
      <w:r>
        <w:t xml:space="preserve">(mechanical shutoff rods that drop into the calandria) and</w:t>
      </w:r>
      <w:r>
        <w:t xml:space="preserve"> </w:t>
      </w:r>
      <w:r>
        <w:rPr>
          <w:b/>
          <w:bCs/>
        </w:rPr>
        <w:t xml:space="preserve">SDS2</w:t>
      </w:r>
      <w:r>
        <w:t xml:space="preserve"> </w:t>
      </w:r>
      <w:r>
        <w:t xml:space="preserve">(gadolinium-nitrate poison injection). They are independent in sensors, logic, actuators, power, layout and design teams. CNSC requires both to meet the same safety goal.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Gas-cooled / SFR / SMR:</w:t>
      </w:r>
      <w:r>
        <w:t xml:space="preserve"> </w:t>
      </w:r>
      <w:r>
        <w:t xml:space="preserve">design-specific; usually still two diverse means.</w:t>
      </w:r>
    </w:p>
    <w:p>
      <w:pPr>
        <w:pStyle w:val="FirstParagraph"/>
      </w:pPr>
      <w:r>
        <w:t xml:space="preserve">From an I&amp;C perspective, the relevant function is the</w:t>
      </w:r>
      <w:r>
        <w:t xml:space="preserve"> </w:t>
      </w:r>
      <w:r>
        <w:rPr>
          <w:b/>
          <w:bCs/>
        </w:rPr>
        <w:t xml:space="preserve">trip logic</w:t>
      </w:r>
      <w:r>
        <w:t xml:space="preserve">: detect the initiating condition, vote across redundant channels, command the actuators, fail-safe on loss of power, log everything.</w:t>
      </w:r>
    </w:p>
    <w:bookmarkEnd w:id="9"/>
    <w:bookmarkStart w:id="10" w:name="public-sources"/>
    <w:p>
      <w:pPr>
        <w:pStyle w:val="Heading2"/>
      </w:pPr>
      <w:r>
        <w:t xml:space="preserve">Public 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NRC</w:t>
            </w:r>
          </w:p>
        </w:tc>
        <w:tc>
          <w:tcPr/>
          <w:p>
            <w:pPr>
              <w:pStyle w:val="Compact"/>
            </w:pPr>
            <w:r>
              <w:t xml:space="preserve">10 CFR 50, Appendix A,</w:t>
            </w:r>
            <w:r>
              <w:t xml:space="preserve"> </w:t>
            </w:r>
            <w:r>
              <w:rPr>
                <w:b/>
                <w:bCs/>
              </w:rPr>
              <w:t xml:space="preserve">GDC 20–25</w:t>
            </w:r>
            <w:r>
              <w:t xml:space="preserve"> </w:t>
            </w:r>
            <w:r>
              <w:t xml:space="preserve">(protection system design); Reg. Guide 1.118 (periodic testing); BTP 7-19 (D3)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nrc.gov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NRC</w:t>
            </w:r>
          </w:p>
        </w:tc>
        <w:tc>
          <w:tcPr/>
          <w:p>
            <w:pPr>
              <w:pStyle w:val="Compact"/>
            </w:pPr>
            <w:r>
              <w:t xml:space="preserve">NUREG/CR series on RPS reliability and ATWS</w:t>
            </w:r>
          </w:p>
        </w:tc>
        <w:tc>
          <w:tcPr/>
          <w:p>
            <w:pPr>
              <w:pStyle w:val="Compact"/>
            </w:pPr>
            <w:r>
              <w:t xml:space="preserve">NRC NUREG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CNSC (Canada)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REGDOC-2.5.2</w:t>
            </w:r>
            <w:r>
              <w:t xml:space="preserve"> </w:t>
            </w:r>
            <w:r>
              <w:t xml:space="preserve">— Design of Reactor Facilities; CANDU-specific guidance on SDS1 / SDS2 expectations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nuclearsafety.gc.ca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CNSC</w:t>
            </w:r>
          </w:p>
        </w:tc>
        <w:tc>
          <w:tcPr/>
          <w:p>
            <w:pPr>
              <w:pStyle w:val="Compact"/>
            </w:pPr>
            <w:r>
              <w:t xml:space="preserve">Public sections of CANDU 6 / EC6 / ACR licensing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nuclearsafety.gc.ca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AECL / Candu Energy</w:t>
            </w:r>
          </w:p>
        </w:tc>
        <w:tc>
          <w:tcPr/>
          <w:p>
            <w:pPr>
              <w:pStyle w:val="Compact"/>
            </w:pPr>
            <w:r>
              <w:t xml:space="preserve">Public conference papers on SDS1 / SDS2 architecture</w:t>
            </w:r>
          </w:p>
        </w:tc>
        <w:tc>
          <w:tcPr/>
          <w:p>
            <w:pPr>
              <w:pStyle w:val="Compact"/>
            </w:pPr>
            <w:r>
              <w:t xml:space="preserve">OSTI.gov, IAEA INIS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IAEA</w:t>
            </w:r>
          </w:p>
        </w:tc>
        <w:tc>
          <w:tcPr/>
          <w:p>
            <w:pPr>
              <w:pStyle w:val="Compact"/>
            </w:pPr>
            <w:r>
              <w:t xml:space="preserve">SSG-39 (I&amp;C design), SSG-30 (safety classification), TECDOC series on RPS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iaea.org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public DCDs</w:t>
            </w:r>
          </w:p>
        </w:tc>
        <w:tc>
          <w:tcPr/>
          <w:p>
            <w:pPr>
              <w:pStyle w:val="Compact"/>
            </w:pPr>
            <w:r>
              <w:t xml:space="preserve">AP1000 DCD Chapter 7, US-EPR FSAR Chapter 7, APR1400 DCD Chapter 7, BWRX-300 / NuScale public docs Chapter 7</w:t>
            </w:r>
          </w:p>
        </w:tc>
        <w:tc>
          <w:tcPr/>
          <w:p>
            <w:pPr>
              <w:pStyle w:val="Compact"/>
            </w:pPr>
            <w:r>
              <w:t xml:space="preserve">NRC ADAMS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Conference papers</w:t>
            </w:r>
          </w:p>
        </w:tc>
        <w:tc>
          <w:tcPr/>
          <w:p>
            <w:pPr>
              <w:pStyle w:val="Compact"/>
            </w:pPr>
            <w:r>
              <w:t xml:space="preserve">NPIC&amp;HMIT, ANS, IAEA technical meetings on RPS modernisation</w:t>
            </w:r>
          </w:p>
        </w:tc>
        <w:tc>
          <w:tcPr/>
          <w:p>
            <w:pPr>
              <w:pStyle w:val="Compact"/>
            </w:pPr>
            <w:r>
              <w:t xml:space="preserve">IEEE Xplore, ANS, IAEA INIS</w:t>
            </w:r>
          </w:p>
        </w:tc>
      </w:tr>
    </w:tbl>
    <w:bookmarkEnd w:id="10"/>
    <w:bookmarkStart w:id="11" w:name="X927a6365eb098e1b960c3edbcada81713ea4e87"/>
    <w:p>
      <w:pPr>
        <w:pStyle w:val="Heading2"/>
      </w:pPr>
      <w:r>
        <w:t xml:space="preserve">Architectural concepts described in public material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Redundancy</w:t>
      </w:r>
      <w:r>
        <w:t xml:space="preserve"> </w:t>
      </w:r>
      <w:r>
        <w:t xml:space="preserve">— typically four independent channels in LWR RPS, two diverse systems in CANDU.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Voting</w:t>
      </w:r>
      <w:r>
        <w:t xml:space="preserve"> </w:t>
      </w:r>
      <w:r>
        <w:t xml:space="preserve">— 2-of-4 coincidence is the LWR norm; 2-of-3 per system in CANDU SDS1 / SDS2.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Fail-safe / energise-to-trip vs de-energise-to-trip</w:t>
      </w:r>
      <w:r>
        <w:t xml:space="preserve"> </w:t>
      </w:r>
      <w:r>
        <w:t xml:space="preserve">— most reactor-scram designs are de-energise-to-trip (rods fall under gravity / spring force on loss of power to the holding magnets).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 scram</w:t>
      </w:r>
      <w:r>
        <w:t xml:space="preserve"> </w:t>
      </w:r>
      <w:r>
        <w:t xml:space="preserve">— hardwired path that bypasses the digital logic.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Bypasses</w:t>
      </w:r>
      <w:r>
        <w:t xml:space="preserve"> </w:t>
      </w:r>
      <w:r>
        <w:t xml:space="preserve">— per-channel bypass with continuous indication and time limits.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On-line testing</w:t>
      </w:r>
      <w:r>
        <w:t xml:space="preserve"> </w:t>
      </w:r>
      <w:r>
        <w:t xml:space="preserve">— each channel testable while the others maintain the trip function (single-failure-tolerant during test).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Diversity (D3)</w:t>
      </w:r>
      <w:r>
        <w:t xml:space="preserve"> </w:t>
      </w:r>
      <w:r>
        <w:t xml:space="preserve">— the digital RPS is paired with a diverse means using different technology, different signals, or different vendor, to defeat common-cause software failure.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— physical separation, electrical isolation, separate Class 1E power divisions.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Determinism</w:t>
      </w:r>
      <w:r>
        <w:t xml:space="preserve"> </w:t>
      </w:r>
      <w:r>
        <w:t xml:space="preserve">— every trip path has a bounded, demonstrated worst-case response time.</w:t>
      </w:r>
    </w:p>
    <w:bookmarkEnd w:id="11"/>
    <w:bookmarkStart w:id="12" w:name="information-not-publicly-available"/>
    <w:p>
      <w:pPr>
        <w:pStyle w:val="Heading2"/>
      </w:pPr>
      <w:r>
        <w:t xml:space="preserve">Information not publicly available</w:t>
      </w:r>
    </w:p>
    <w:p>
      <w:pPr>
        <w:pStyle w:val="Compact"/>
        <w:numPr>
          <w:ilvl w:val="0"/>
          <w:numId w:val="1003"/>
        </w:numPr>
      </w:pPr>
      <w:r>
        <w:t xml:space="preserve">Vendor application logic that implements the trip equations on any given plant.</w:t>
      </w:r>
    </w:p>
    <w:p>
      <w:pPr>
        <w:pStyle w:val="Compact"/>
        <w:numPr>
          <w:ilvl w:val="0"/>
          <w:numId w:val="1003"/>
        </w:numPr>
      </w:pPr>
      <w:r>
        <w:t xml:space="preserve">Setpoint analyses, channel-uncertainty calculations, and their inputs.</w:t>
      </w:r>
    </w:p>
    <w:p>
      <w:pPr>
        <w:pStyle w:val="Compact"/>
        <w:numPr>
          <w:ilvl w:val="0"/>
          <w:numId w:val="1003"/>
        </w:numPr>
      </w:pPr>
      <w:r>
        <w:t xml:space="preserve">Common-cause-failure (CCF) coping analyses below the architecture level.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2026-05-08T07:32:14Z</dcterms:created>
  <dcterms:modified xsi:type="dcterms:W3CDTF">2026-05-08T07:32:14Z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