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leperm-xs-txs"/>
    <w:p>
      <w:pPr>
        <w:pStyle w:val="Heading1"/>
      </w:pPr>
      <w:r>
        <w:t xml:space="preserve">TELEPERM XS (TXS)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TELEPERM XS is a digital safety I&amp;C platform originally developed by Siemens KWU in the 1990s, transferred through Siemens / Areva NP to today's owner</w:t>
      </w:r>
      <w:r>
        <w:t xml:space="preserve"> </w:t>
      </w:r>
      <w:r>
        <w:rPr>
          <w:b/>
          <w:bCs/>
        </w:rPr>
        <w:t xml:space="preserve">Framatome</w:t>
      </w:r>
      <w:r>
        <w:t xml:space="preserve">. It is purpose-built for Category A (Class 1E equivalent) protection-system functions — reactor protection, ESFAS actuation, post-accident monitoring — and is qualified under the IEC 61513 / 60880 framework. It has been reviewed by multiple regulators including the US NRC, UK ONR, French ASNR, German GRS, and Finnish STUK. It is engineered using a dedicated tool chain (function-block / SPACE engineering tool,</w:t>
      </w:r>
      <w:r>
        <w:t xml:space="preserve"> </w:t>
      </w:r>
      <w:r>
        <w:rPr>
          <w:b/>
          <w:bCs/>
        </w:rPr>
        <w:t xml:space="preserve">SIVAT</w:t>
      </w:r>
      <w:r>
        <w:t xml:space="preserve"> </w:t>
      </w:r>
      <w:r>
        <w:t xml:space="preserve">off-line validator) — not generic Siemens Step 7 / TIA Portal.</w:t>
      </w:r>
    </w:p>
    <w:bookmarkEnd w:id="9"/>
    <w:bookmarkStart w:id="10" w:name="public-sources"/>
    <w:p>
      <w:pPr>
        <w:pStyle w:val="Heading2"/>
      </w:pPr>
      <w:r>
        <w:t xml:space="preserve">Public sources</w:t>
      </w:r>
    </w:p>
    <w:p>
      <w:pPr>
        <w:pStyle w:val="FirstParagraph"/>
      </w:pPr>
      <w:r>
        <w:t xml:space="preserve">Public references are retrievable from the canonical repositories below. Non-proprietary "(NP)" variants are the ones intended for public release.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Framatome</w:t>
            </w:r>
          </w:p>
        </w:tc>
        <w:tc>
          <w:tcPr/>
          <w:p>
            <w:pPr>
              <w:pStyle w:val="Compact"/>
            </w:pPr>
            <w:r>
              <w:t xml:space="preserve">TELEPERM XS platform brochure / product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framatome.com</w:t>
            </w:r>
            <w:r>
              <w:t xml:space="preserve"> </w:t>
            </w:r>
            <w:r>
              <w:t xml:space="preserve">(Products → I&amp;C)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Topical Report</w:t>
            </w:r>
            <w:r>
              <w:t xml:space="preserve"> </w:t>
            </w:r>
            <w:r>
              <w:rPr>
                <w:b/>
                <w:bCs/>
              </w:rPr>
              <w:t xml:space="preserve">EMF-2110(NP)-A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TELEPERM XS: A Digital Reactor Protection System</w:t>
            </w:r>
            <w:r>
              <w:t xml:space="preserve">, and the associated Safety Evaluation</w:t>
            </w:r>
          </w:p>
        </w:tc>
        <w:tc>
          <w:tcPr/>
          <w:p>
            <w:pPr>
              <w:pStyle w:val="Compact"/>
            </w:pPr>
            <w:r>
              <w:t xml:space="preserve">NRC ADAMS, full-text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Plant-specific Safety Evaluation Reports for TXS upgrades (e.g. Oconee RPS replacement)</w:t>
            </w:r>
          </w:p>
        </w:tc>
        <w:tc>
          <w:tcPr/>
          <w:p>
            <w:pPr>
              <w:pStyle w:val="Compact"/>
            </w:pPr>
            <w:r>
              <w:t xml:space="preserve">NRC ADAMS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</w:t>
            </w:r>
          </w:p>
        </w:tc>
        <w:tc>
          <w:tcPr/>
          <w:p>
            <w:pPr>
              <w:pStyle w:val="Compact"/>
            </w:pPr>
            <w:r>
              <w:t xml:space="preserve">TECDOC series on digital I&amp;C modernisation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iaea.org</w:t>
            </w:r>
            <w:r>
              <w:t xml:space="preserve"> </w:t>
            </w:r>
            <w:r>
              <w:t xml:space="preserve">publications, IAEA INIS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GRS / RSK (Germany)</w:t>
            </w:r>
          </w:p>
        </w:tc>
        <w:tc>
          <w:tcPr/>
          <w:p>
            <w:pPr>
              <w:pStyle w:val="Compact"/>
            </w:pPr>
            <w:r>
              <w:t xml:space="preserve">German review opinions (in German)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grs.de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rskonline.de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ASNR / IRSN (France)</w:t>
            </w:r>
          </w:p>
        </w:tc>
        <w:tc>
          <w:tcPr/>
          <w:p>
            <w:pPr>
              <w:pStyle w:val="Compact"/>
            </w:pPr>
            <w:r>
              <w:t xml:space="preserve">French regulator opinions on EPR I&amp;C (TXS used for Class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asnr.fr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papers</w:t>
            </w:r>
          </w:p>
        </w:tc>
        <w:tc>
          <w:tcPr/>
          <w:p>
            <w:pPr>
              <w:pStyle w:val="Compact"/>
            </w:pPr>
            <w:r>
              <w:t xml:space="preserve">NPIC&amp;HMIT, ANS Annual, ENC, IAEA TM-Köln series</w:t>
            </w:r>
          </w:p>
        </w:tc>
        <w:tc>
          <w:tcPr/>
          <w:p>
            <w:pPr>
              <w:pStyle w:val="Compact"/>
            </w:pPr>
            <w:r>
              <w:t xml:space="preserve">OSTI.gov, IEEE Xplore, IAEA INIS</w:t>
            </w:r>
          </w:p>
        </w:tc>
      </w:tr>
    </w:tbl>
    <w:bookmarkEnd w:id="10"/>
    <w:bookmarkStart w:id="11" w:name="X927a6365eb098e1b960c3edbcada81713ea4e87"/>
    <w:p>
      <w:pPr>
        <w:pStyle w:val="Heading2"/>
      </w:pPr>
      <w:r>
        <w:t xml:space="preserve">Architectural concepts described in public material</w:t>
      </w:r>
    </w:p>
    <w:p>
      <w:pPr>
        <w:pStyle w:val="FirstParagraph"/>
      </w:pPr>
      <w:r>
        <w:t xml:space="preserve">These are described at a conceptual level in conference papers and the NRC topical report.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 Diagram (FD) engineering</w:t>
      </w:r>
      <w:r>
        <w:t xml:space="preserve"> </w:t>
      </w:r>
      <w:r>
        <w:t xml:space="preserve">— safety logic is captured in a graphical function-block language; the compiler chain produces qualified executable code on the TXS computer.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SIVAT</w:t>
      </w:r>
      <w:r>
        <w:t xml:space="preserve"> </w:t>
      </w:r>
      <w:r>
        <w:t xml:space="preserve">— an off-line simulator that runs the same compiled application against test vectors prior to plant deployment.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real-time, fully deterministic cyclic execution.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Redundancy and division separation</w:t>
      </w:r>
      <w:r>
        <w:t xml:space="preserve"> </w:t>
      </w:r>
      <w:r>
        <w:t xml:space="preserve">— typically four independent divisions for protection functions, with hard isolation between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 via the Profibus-derived TXS internal bus</w:t>
      </w:r>
      <w:r>
        <w:t xml:space="preserve"> </w:t>
      </w:r>
      <w:r>
        <w:t xml:space="preserve">for intra-system data, and qualified gateways for any data leaving the safety perimeter.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Defence-in-depth and diversity</w:t>
      </w:r>
      <w:r>
        <w:t xml:space="preserve"> </w:t>
      </w:r>
      <w:r>
        <w:t xml:space="preserve">with a separate diverse system for ATWS coverage on many installations.</w:t>
      </w:r>
    </w:p>
    <w:bookmarkEnd w:id="11"/>
    <w:bookmarkStart w:id="12" w:name="information-not-publicly-available"/>
    <w:p>
      <w:pPr>
        <w:pStyle w:val="Heading2"/>
      </w:pPr>
      <w:r>
        <w:t xml:space="preserve">Information not publicly available</w:t>
      </w:r>
    </w:p>
    <w:p>
      <w:pPr>
        <w:pStyle w:val="Compact"/>
        <w:numPr>
          <w:ilvl w:val="0"/>
          <w:numId w:val="1002"/>
        </w:numPr>
      </w:pPr>
      <w:r>
        <w:t xml:space="preserve">Application source / function-block libraries used at any specific plant.</w:t>
      </w:r>
    </w:p>
    <w:p>
      <w:pPr>
        <w:pStyle w:val="Compact"/>
        <w:numPr>
          <w:ilvl w:val="0"/>
          <w:numId w:val="1002"/>
        </w:numPr>
      </w:pPr>
      <w:r>
        <w:t xml:space="preserve">Compiler internals and qualification arguments at the code level.</w:t>
      </w:r>
    </w:p>
    <w:p>
      <w:pPr>
        <w:pStyle w:val="Compact"/>
        <w:numPr>
          <w:ilvl w:val="0"/>
          <w:numId w:val="1002"/>
        </w:numPr>
      </w:pPr>
      <w:r>
        <w:t xml:space="preserve">Detailed cybersecurity dossier.</w:t>
      </w:r>
    </w:p>
    <w:p>
      <w:pPr>
        <w:pStyle w:val="Compact"/>
        <w:numPr>
          <w:ilvl w:val="0"/>
          <w:numId w:val="1002"/>
        </w:numPr>
      </w:pPr>
      <w:r>
        <w:t xml:space="preserve">Material falling under NSG Part 1 / Part 2 export controls.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2026-05-08T07:32:14Z</dcterms:created>
  <dcterms:modified xsi:type="dcterms:W3CDTF">2026-05-08T07:32:14Z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