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eagle-21"/>
    <w:p>
      <w:pPr>
        <w:pStyle w:val="Heading1"/>
      </w:pPr>
      <w:r>
        <w:t xml:space="preserve">Eagle-21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Eagle-21 is a Westinghouse digital protection / process-protection platform, introduced in the late 1980s and 1990s as a replacement for the original analog 7300 process-protection racks in Westinghouse PWRs. It implements the standard four-channel reactor protection logic (overtemperature ΔT, overpower ΔT, low pressuriser pressure, etc.) in microprocessor-based modules and was the first NRC-approved digital protection upgrade for the US PWR fleet. Functionally: redundant channels, two-out-of-four coincidence, manual bypass with annunciation, deterministic scan time, EMI- and seismic-qualified.</w:t>
      </w:r>
    </w:p>
    <w:bookmarkEnd w:id="9"/>
    <w:bookmarkStart w:id="10" w:name="public-sources"/>
    <w:p>
      <w:pPr>
        <w:pStyle w:val="Heading2"/>
      </w:pPr>
      <w:r>
        <w:t xml:space="preserve">Public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NRC</w:t>
            </w:r>
          </w:p>
        </w:tc>
        <w:tc>
          <w:tcPr/>
          <w:p>
            <w:pPr>
              <w:pStyle w:val="Compact"/>
            </w:pPr>
            <w:r>
              <w:t xml:space="preserve">Westinghouse WCAP topical reports on Eagle-21; non-proprietary "(NP)" variants are public</w:t>
            </w:r>
          </w:p>
        </w:tc>
        <w:tc>
          <w:tcPr/>
          <w:p>
            <w:pPr>
              <w:pStyle w:val="Compact"/>
            </w:pPr>
            <w:r>
              <w:t xml:space="preserve">NRC ADAMS, full-text search "Eagle-21 WCAP"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NRC</w:t>
            </w:r>
          </w:p>
        </w:tc>
        <w:tc>
          <w:tcPr/>
          <w:p>
            <w:pPr>
              <w:pStyle w:val="Compact"/>
            </w:pPr>
            <w:r>
              <w:t xml:space="preserve">Plant-specific Safety Evaluation Reports approving Eagle-21 installation or extended power uprate (e.g. records for Sequoyah, Watts Bar, Diablo Canyon, Comanche Peak)</w:t>
            </w:r>
          </w:p>
        </w:tc>
        <w:tc>
          <w:tcPr/>
          <w:p>
            <w:pPr>
              <w:pStyle w:val="Compact"/>
            </w:pPr>
            <w:r>
              <w:t xml:space="preserve">NRC ADAMS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NRC</w:t>
            </w:r>
          </w:p>
        </w:tc>
        <w:tc>
          <w:tcPr/>
          <w:p>
            <w:pPr>
              <w:pStyle w:val="Compact"/>
            </w:pPr>
            <w:r>
              <w:t xml:space="preserve">Generic Letter 95-02 era discussion of microprocessor protection upgrades</w:t>
            </w:r>
          </w:p>
        </w:tc>
        <w:tc>
          <w:tcPr/>
          <w:p>
            <w:pPr>
              <w:pStyle w:val="Compact"/>
            </w:pPr>
            <w:r>
              <w:t xml:space="preserve">NRC ADAMS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Westinghouse</w:t>
            </w:r>
          </w:p>
        </w:tc>
        <w:tc>
          <w:tcPr/>
          <w:p>
            <w:pPr>
              <w:pStyle w:val="Compact"/>
            </w:pPr>
            <w:r>
              <w:t xml:space="preserve">Public product overview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westinghousenuclear.com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Conference papers</w:t>
            </w:r>
          </w:p>
        </w:tc>
        <w:tc>
          <w:tcPr/>
          <w:p>
            <w:pPr>
              <w:pStyle w:val="Compact"/>
            </w:pPr>
            <w:r>
              <w:t xml:space="preserve">NPIC&amp;HMIT and ANS Annual proceedings on PWR RPS upgrades</w:t>
            </w:r>
          </w:p>
        </w:tc>
        <w:tc>
          <w:tcPr/>
          <w:p>
            <w:pPr>
              <w:pStyle w:val="Compact"/>
            </w:pPr>
            <w:r>
              <w:t xml:space="preserve">OSTI.gov, ANS publications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EPRI</w:t>
            </w:r>
          </w:p>
        </w:tc>
        <w:tc>
          <w:tcPr/>
          <w:p>
            <w:pPr>
              <w:pStyle w:val="Compact"/>
            </w:pPr>
            <w:r>
              <w:t xml:space="preserve">Reports on digital RPS lessons learned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epri.com</w:t>
            </w:r>
          </w:p>
        </w:tc>
      </w:tr>
    </w:tbl>
    <w:bookmarkEnd w:id="10"/>
    <w:bookmarkStart w:id="11" w:name="X927a6365eb098e1b960c3edbcada81713ea4e87"/>
    <w:p>
      <w:pPr>
        <w:pStyle w:val="Heading2"/>
      </w:pPr>
      <w:r>
        <w:t xml:space="preserve">Architectural concepts described in public material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Four protection channels (sets/trains)</w:t>
      </w:r>
      <w:r>
        <w:t xml:space="preserve"> </w:t>
      </w:r>
      <w:r>
        <w:t xml:space="preserve">with electrical and physical separation.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2-of-4 coincidence trip logic</w:t>
      </w:r>
      <w:r>
        <w:t xml:space="preserve"> </w:t>
      </w:r>
      <w:r>
        <w:t xml:space="preserve">for primary protection functions.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 Protection Cabinets</w:t>
      </w:r>
      <w:r>
        <w:t xml:space="preserve"> </w:t>
      </w:r>
      <w:r>
        <w:t xml:space="preserve">containing dedicated digital modules per function.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Self-diagnostics</w:t>
      </w:r>
      <w:r>
        <w:t xml:space="preserve"> </w:t>
      </w:r>
      <w:r>
        <w:t xml:space="preserve">— continuous on-line testing, channel-by-channel bypass without losing the trip function.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Defence-in-depth</w:t>
      </w:r>
      <w:r>
        <w:t xml:space="preserve"> </w:t>
      </w:r>
      <w:r>
        <w:t xml:space="preserve">— Eagle-21 covers the protection function; reactor control is on a separate (often analog or different-vendor)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Setpoint methodology</w:t>
      </w:r>
      <w:r>
        <w:t xml:space="preserve"> </w:t>
      </w:r>
      <w:r>
        <w:t xml:space="preserve">per the ISA RP67.04 / ISA-S67.04 family, integrated into Eagle-21 channel-uncertainty calculations.</w:t>
      </w:r>
    </w:p>
    <w:bookmarkEnd w:id="11"/>
    <w:bookmarkStart w:id="12" w:name="information-not-publicly-available"/>
    <w:p>
      <w:pPr>
        <w:pStyle w:val="Heading2"/>
      </w:pPr>
      <w:r>
        <w:t xml:space="preserve">Information not publicly available</w:t>
      </w:r>
    </w:p>
    <w:p>
      <w:pPr>
        <w:pStyle w:val="Compact"/>
        <w:numPr>
          <w:ilvl w:val="0"/>
          <w:numId w:val="1002"/>
        </w:numPr>
      </w:pPr>
      <w:r>
        <w:t xml:space="preserve">Proprietary versions of the WCAP reports (the non-(NP) variants).</w:t>
      </w:r>
    </w:p>
    <w:p>
      <w:pPr>
        <w:pStyle w:val="Compact"/>
        <w:numPr>
          <w:ilvl w:val="0"/>
          <w:numId w:val="1002"/>
        </w:numPr>
      </w:pPr>
      <w:r>
        <w:t xml:space="preserve">Application setpoints, channel-statistical-allowance calculations, and qualification test data.</w:t>
      </w:r>
    </w:p>
    <w:p>
      <w:pPr>
        <w:pStyle w:val="Compact"/>
        <w:numPr>
          <w:ilvl w:val="0"/>
          <w:numId w:val="1002"/>
        </w:numPr>
      </w:pPr>
      <w:r>
        <w:t xml:space="preserve">Current source code and firmware.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2026-05-08T07:32:14Z</dcterms:created>
  <dcterms:modified xsi:type="dcterms:W3CDTF">2026-05-08T07:32:14Z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