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emergency-core-cooling-system-eccs"/>
    <w:p>
      <w:pPr>
        <w:pStyle w:val="Heading1"/>
      </w:pPr>
      <w:r>
        <w:t xml:space="preserve">Emergency Core Cooling System (ECCS)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ECCS is a</w:t>
      </w:r>
      <w:r>
        <w:t xml:space="preserve"> </w:t>
      </w:r>
      <w:r>
        <w:rPr>
          <w:b/>
          <w:bCs/>
        </w:rPr>
        <w:t xml:space="preserve">safety function</w:t>
      </w:r>
      <w:r>
        <w:t xml:space="preserve">, not a product. It is the set of subsystems that inject coolant into the reactor coolant system after a loss-of-coolant accident (LOCA) so that the fuel cladding stays below the regulatory peak-cladding-temperature limit and the core remains in a coolable geometry. In a typical PWR, ECCS comprises high-pressure safety injection (HPSI), low-pressure safety injection (LPSI), accumulators / safety injection tanks, and long-term recirculation through the containment sump. In a BWR it includes HPCI/HPCS, LPCI/LPCS, ADS, RCIC and the RHR loops. Different reactor designs allocate the function differently. From an I&amp;C perspective, the relevant logic is the</w:t>
      </w:r>
      <w:r>
        <w:t xml:space="preserve"> </w:t>
      </w:r>
      <w:r>
        <w:rPr>
          <w:b/>
          <w:bCs/>
        </w:rPr>
        <w:t xml:space="preserve">detection of initiating events and actuation of ECCS pumps and valves</w:t>
      </w:r>
      <w:r>
        <w:t xml:space="preserve">, implemented as part of the Engineered Safety Features Actuation System (ESFAS), which sits in the same Class 1E protection envelope as the reactor protection system.</w:t>
      </w:r>
    </w:p>
    <w:bookmarkEnd w:id="9"/>
    <w:bookmarkStart w:id="10" w:name="public-sources"/>
    <w:p>
      <w:pPr>
        <w:pStyle w:val="Heading2"/>
      </w:pPr>
      <w:r>
        <w:t xml:space="preserve">Public 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NRC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CFR 50.46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Appendix K to 10 CFR 50</w:t>
            </w:r>
            <w:r>
              <w:t xml:space="preserve"> </w:t>
            </w:r>
            <w:r>
              <w:t xml:space="preserve">— legal performance criteria for ECCS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nrc.gov</w:t>
            </w:r>
            <w:r>
              <w:t xml:space="preserve"> </w:t>
            </w:r>
            <w:r>
              <w:t xml:space="preserve">electronic CFR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NRC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NUREG-0800 Standard Review Plan, Chapter 6.3</w:t>
            </w:r>
            <w:r>
              <w:t xml:space="preserve"> </w:t>
            </w:r>
            <w:r>
              <w:t xml:space="preserve">(ECCS) and</w:t>
            </w:r>
            <w:r>
              <w:t xml:space="preserve"> </w:t>
            </w:r>
            <w:r>
              <w:rPr>
                <w:b/>
                <w:bCs/>
              </w:rPr>
              <w:t xml:space="preserve">Chapter 7.3</w:t>
            </w:r>
            <w:r>
              <w:t xml:space="preserve"> </w:t>
            </w:r>
            <w:r>
              <w:t xml:space="preserve">(ESFAS)</w:t>
            </w:r>
          </w:p>
        </w:tc>
        <w:tc>
          <w:tcPr/>
          <w:p>
            <w:pPr>
              <w:pStyle w:val="Compact"/>
            </w:pPr>
            <w:r>
              <w:t xml:space="preserve">NRC ADAMS / NUREG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NRC</w:t>
            </w:r>
          </w:p>
        </w:tc>
        <w:tc>
          <w:tcPr/>
          <w:p>
            <w:pPr>
              <w:pStyle w:val="Compact"/>
            </w:pPr>
            <w:r>
              <w:t xml:space="preserve">Final Safety Analysis Reports (FSAR) Chapter 6.3 of US plants — many are public on ADAMS</w:t>
            </w:r>
          </w:p>
        </w:tc>
        <w:tc>
          <w:tcPr/>
          <w:p>
            <w:pPr>
              <w:pStyle w:val="Compact"/>
            </w:pPr>
            <w:r>
              <w:t xml:space="preserve">NRC ADAMS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IAEA</w:t>
            </w:r>
          </w:p>
        </w:tc>
        <w:tc>
          <w:tcPr/>
          <w:p>
            <w:pPr>
              <w:pStyle w:val="Compact"/>
            </w:pPr>
            <w:r>
              <w:t xml:space="preserve">SSR-2/1 Rev.1 (design safety requirements) — chapters on emergency core cooling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iaea.org</w:t>
            </w:r>
            <w:r>
              <w:t xml:space="preserve"> </w:t>
            </w:r>
            <w:r>
              <w:t xml:space="preserve">Safety Standards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OECD/NEA</w:t>
            </w:r>
          </w:p>
        </w:tc>
        <w:tc>
          <w:tcPr/>
          <w:p>
            <w:pPr>
              <w:pStyle w:val="Compact"/>
            </w:pPr>
            <w:r>
              <w:t xml:space="preserve">Reports on LOCA phenomena and ECCS 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oecd-nea.org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design control documents</w:t>
            </w:r>
          </w:p>
        </w:tc>
        <w:tc>
          <w:tcPr/>
          <w:p>
            <w:pPr>
              <w:pStyle w:val="Compact"/>
            </w:pPr>
            <w:r>
              <w:t xml:space="preserve">AP1000 DCD Chapter 6.3, US-EPR FSAR Chapter 6.3 — public Tier 2 material is detailed</w:t>
            </w:r>
          </w:p>
        </w:tc>
        <w:tc>
          <w:tcPr/>
          <w:p>
            <w:pPr>
              <w:pStyle w:val="Compact"/>
            </w:pPr>
            <w:r>
              <w:t xml:space="preserve">NRC ADAMS</w:t>
            </w:r>
          </w:p>
        </w:tc>
      </w:tr>
    </w:tbl>
    <w:bookmarkEnd w:id="10"/>
    <w:bookmarkStart w:id="11" w:name="architectural-concepts-ic-side"/>
    <w:p>
      <w:pPr>
        <w:pStyle w:val="Heading2"/>
      </w:pPr>
      <w:r>
        <w:t xml:space="preserve">Architectural concepts (I&amp;C side)</w:t>
      </w:r>
    </w:p>
    <w:p>
      <w:pPr>
        <w:pStyle w:val="FirstParagraph"/>
      </w:pPr>
      <w:r>
        <w:t xml:space="preserve">What gets engineered for ECCS is the</w:t>
      </w:r>
      <w:r>
        <w:t xml:space="preserve"> </w:t>
      </w:r>
      <w:r>
        <w:rPr>
          <w:b/>
          <w:bCs/>
        </w:rPr>
        <w:t xml:space="preserve">actuation logic</w:t>
      </w:r>
      <w:r>
        <w:t xml:space="preserve">, which is structurally similar to reactor protection but on a different set of plant variables.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Initiating signals</w:t>
      </w:r>
      <w:r>
        <w:t xml:space="preserve">: low pressuriser pressure, high containment pressure, low-low steam-generator level, manual actuation, and combinations of these.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Two-out-of-three or two-out-of-four coincidence</w:t>
      </w:r>
      <w:r>
        <w:t xml:space="preserve"> </w:t>
      </w:r>
      <w:r>
        <w:t xml:space="preserve">depending on the design and the parameter.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Master / slave actuation pattern</w:t>
      </w:r>
      <w:r>
        <w:t xml:space="preserve"> </w:t>
      </w:r>
      <w:r>
        <w:t xml:space="preserve">— master logic decides "actuate ECCS"; slave logic per train commands the specific pumps, valves, dampers.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 independence</w:t>
      </w:r>
      <w:r>
        <w:t xml:space="preserve"> </w:t>
      </w:r>
      <w:r>
        <w:t xml:space="preserve">— typically two or three fully independent ECCS trains, each fed by its own division of the safety I&amp;C and its own Class 1E power.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Manual capability</w:t>
      </w:r>
      <w:r>
        <w:t xml:space="preserve"> </w:t>
      </w:r>
      <w:r>
        <w:t xml:space="preserve">on the safety side, plus diverse manual capability for ATWS / cyber-security defence-in-depth.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Post-accident monitoring</w:t>
      </w:r>
      <w:r>
        <w:t xml:space="preserve"> </w:t>
      </w:r>
      <w:r>
        <w:t xml:space="preserve">(PAM) variables provided by Class 1E instrumentation, qualified per Reg. Guide 1.97 / IEEE 497.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Sequence-of-events recording</w:t>
      </w:r>
      <w:r>
        <w:t xml:space="preserve"> </w:t>
      </w:r>
      <w:r>
        <w:t xml:space="preserve">with timestamps adequate for post-event reconstruction.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2026-05-08T07:32:14Z</dcterms:created>
  <dcterms:modified xsi:type="dcterms:W3CDTF">2026-05-08T07:32:14Z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